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521" w:type="dxa"/>
        <w:tblInd w:w="-34" w:type="dxa"/>
        <w:tblBorders>
          <w:top w:val="single" w:sz="8" w:space="0" w:color="C0504D"/>
          <w:left w:val="single" w:sz="8" w:space="0" w:color="C0504D"/>
          <w:bottom w:val="single" w:sz="8" w:space="0" w:color="C0504D"/>
          <w:right w:val="single" w:sz="8" w:space="0" w:color="C0504D"/>
        </w:tblBorders>
        <w:shd w:val="clear" w:color="auto" w:fill="FFFF99"/>
        <w:tblLayout w:type="fixed"/>
        <w:tblLook w:val="04A0" w:firstRow="1" w:lastRow="0" w:firstColumn="1" w:lastColumn="0" w:noHBand="0" w:noVBand="1"/>
      </w:tblPr>
      <w:tblGrid>
        <w:gridCol w:w="6521"/>
      </w:tblGrid>
      <w:tr w:rsidR="00E87F7A" w:rsidRPr="00C74B9F" w14:paraId="0F29C394" w14:textId="77777777" w:rsidTr="00A46E98">
        <w:tc>
          <w:tcPr>
            <w:tcW w:w="6521" w:type="dxa"/>
            <w:tcBorders>
              <w:top w:val="single" w:sz="8" w:space="0" w:color="C0504D"/>
              <w:left w:val="single" w:sz="8" w:space="0" w:color="C0504D"/>
              <w:bottom w:val="single" w:sz="8" w:space="0" w:color="C0504D"/>
              <w:right w:val="single" w:sz="4" w:space="0" w:color="C0504D"/>
            </w:tcBorders>
            <w:shd w:val="clear" w:color="auto" w:fill="FFFF99"/>
            <w:hideMark/>
          </w:tcPr>
          <w:p w14:paraId="287E44FF" w14:textId="77777777" w:rsidR="00E87F7A" w:rsidRPr="00A46E98" w:rsidRDefault="00E87F7A" w:rsidP="00A46E98">
            <w:pPr>
              <w:rPr>
                <w:rStyle w:val="Firstpagetablebold"/>
                <w:rFonts w:eastAsia="Calibri"/>
                <w:bCs/>
              </w:rPr>
            </w:pPr>
            <w:r w:rsidRPr="00A46E98">
              <w:rPr>
                <w:rStyle w:val="Firstpagetablebold"/>
                <w:rFonts w:eastAsia="Calibri"/>
                <w:bCs/>
              </w:rPr>
              <w:t>DRAFT – Not for publication or circulation</w:t>
            </w:r>
          </w:p>
        </w:tc>
      </w:tr>
    </w:tbl>
    <w:p w14:paraId="5040CF8B"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C30B3DF" w14:textId="77777777" w:rsidTr="005F7F7E">
        <w:tc>
          <w:tcPr>
            <w:tcW w:w="2438" w:type="dxa"/>
            <w:shd w:val="clear" w:color="auto" w:fill="auto"/>
          </w:tcPr>
          <w:p w14:paraId="6166EBF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4779F8D" w14:textId="77777777" w:rsidR="00F445B1" w:rsidRPr="00F95BC9" w:rsidRDefault="00F445B1" w:rsidP="004A6D2F">
            <w:pPr>
              <w:rPr>
                <w:rStyle w:val="Firstpagetablebold"/>
              </w:rPr>
            </w:pPr>
            <w:r w:rsidRPr="00F95BC9">
              <w:rPr>
                <w:rStyle w:val="Firstpagetablebold"/>
              </w:rPr>
              <w:t>City Executive Board</w:t>
            </w:r>
          </w:p>
        </w:tc>
      </w:tr>
      <w:tr w:rsidR="00CE544A" w:rsidRPr="00975B07" w14:paraId="3E42D656" w14:textId="77777777" w:rsidTr="005F7F7E">
        <w:tc>
          <w:tcPr>
            <w:tcW w:w="2438" w:type="dxa"/>
            <w:shd w:val="clear" w:color="auto" w:fill="auto"/>
          </w:tcPr>
          <w:p w14:paraId="33714F1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CF3564F" w14:textId="77DCED4E" w:rsidR="00F445B1" w:rsidRPr="001356F1" w:rsidRDefault="00DE4C47" w:rsidP="005D0621">
            <w:pPr>
              <w:rPr>
                <w:b/>
              </w:rPr>
            </w:pPr>
            <w:r>
              <w:rPr>
                <w:rStyle w:val="Firstpagetablebold"/>
              </w:rPr>
              <w:t>9 March</w:t>
            </w:r>
            <w:r w:rsidR="00CB642C">
              <w:rPr>
                <w:rStyle w:val="Firstpagetablebold"/>
              </w:rPr>
              <w:t xml:space="preserve"> 2017</w:t>
            </w:r>
          </w:p>
        </w:tc>
      </w:tr>
      <w:tr w:rsidR="00CE544A" w:rsidRPr="00975B07" w14:paraId="424C82CD" w14:textId="77777777" w:rsidTr="005F7F7E">
        <w:tc>
          <w:tcPr>
            <w:tcW w:w="2438" w:type="dxa"/>
            <w:shd w:val="clear" w:color="auto" w:fill="auto"/>
          </w:tcPr>
          <w:p w14:paraId="25257F9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A9C1E8B" w14:textId="77777777" w:rsidR="00F445B1" w:rsidRPr="001356F1" w:rsidRDefault="00FD1DFA" w:rsidP="00CB642C">
            <w:pPr>
              <w:rPr>
                <w:rStyle w:val="Firstpagetablebold"/>
              </w:rPr>
            </w:pPr>
            <w:r w:rsidRPr="001356F1">
              <w:rPr>
                <w:rStyle w:val="Firstpagetablebold"/>
              </w:rPr>
              <w:t xml:space="preserve">Executive Director </w:t>
            </w:r>
            <w:r w:rsidR="00CB642C">
              <w:rPr>
                <w:rStyle w:val="Firstpagetablebold"/>
              </w:rPr>
              <w:t>Organisational Development and Corporate Services</w:t>
            </w:r>
          </w:p>
        </w:tc>
      </w:tr>
      <w:tr w:rsidR="00CE544A" w:rsidRPr="00975B07" w14:paraId="3CB001D5" w14:textId="77777777" w:rsidTr="005F7F7E">
        <w:tc>
          <w:tcPr>
            <w:tcW w:w="2438" w:type="dxa"/>
            <w:shd w:val="clear" w:color="auto" w:fill="auto"/>
          </w:tcPr>
          <w:p w14:paraId="0C42D72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B45B7FB" w14:textId="0E7713A6" w:rsidR="00F445B1" w:rsidRPr="001356F1" w:rsidRDefault="00CB642C" w:rsidP="00843840">
            <w:pPr>
              <w:rPr>
                <w:rStyle w:val="Firstpagetablebold"/>
              </w:rPr>
            </w:pPr>
            <w:r>
              <w:rPr>
                <w:rStyle w:val="Firstpagetablebold"/>
              </w:rPr>
              <w:t xml:space="preserve">Proposal to </w:t>
            </w:r>
            <w:r w:rsidR="004042EE">
              <w:rPr>
                <w:rStyle w:val="Firstpagetablebold"/>
              </w:rPr>
              <w:t>set up</w:t>
            </w:r>
            <w:r w:rsidR="00843840">
              <w:rPr>
                <w:rStyle w:val="Firstpagetablebold"/>
              </w:rPr>
              <w:t xml:space="preserve"> an </w:t>
            </w:r>
            <w:r>
              <w:rPr>
                <w:rStyle w:val="Firstpagetablebold"/>
              </w:rPr>
              <w:t xml:space="preserve">Oxford </w:t>
            </w:r>
            <w:r w:rsidR="004042EE">
              <w:rPr>
                <w:rStyle w:val="Firstpagetablebold"/>
              </w:rPr>
              <w:t>Lottery</w:t>
            </w:r>
            <w:r>
              <w:rPr>
                <w:rStyle w:val="Firstpagetablebold"/>
              </w:rPr>
              <w:t xml:space="preserve"> to </w:t>
            </w:r>
            <w:r w:rsidR="00FF04D1">
              <w:rPr>
                <w:rStyle w:val="Firstpagetablebold"/>
              </w:rPr>
              <w:t xml:space="preserve">ease growing </w:t>
            </w:r>
            <w:r w:rsidR="004042EE">
              <w:rPr>
                <w:rStyle w:val="Firstpagetablebold"/>
              </w:rPr>
              <w:t xml:space="preserve">demand </w:t>
            </w:r>
            <w:r w:rsidR="008208B5">
              <w:rPr>
                <w:rStyle w:val="Firstpagetablebold"/>
              </w:rPr>
              <w:t xml:space="preserve">on the Council’s </w:t>
            </w:r>
            <w:r w:rsidR="00FF04D1">
              <w:rPr>
                <w:rStyle w:val="Firstpagetablebold"/>
              </w:rPr>
              <w:t xml:space="preserve">open and </w:t>
            </w:r>
            <w:r w:rsidR="008208B5">
              <w:rPr>
                <w:rStyle w:val="Firstpagetablebold"/>
              </w:rPr>
              <w:t>small grants</w:t>
            </w:r>
            <w:r w:rsidR="00A42319">
              <w:rPr>
                <w:rStyle w:val="Firstpagetablebold"/>
              </w:rPr>
              <w:t xml:space="preserve"> programmes.</w:t>
            </w:r>
          </w:p>
        </w:tc>
      </w:tr>
    </w:tbl>
    <w:p w14:paraId="474326B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2169448" w14:textId="77777777" w:rsidTr="0080749A">
        <w:tc>
          <w:tcPr>
            <w:tcW w:w="8845" w:type="dxa"/>
            <w:gridSpan w:val="3"/>
            <w:tcBorders>
              <w:bottom w:val="single" w:sz="8" w:space="0" w:color="000000"/>
            </w:tcBorders>
            <w:hideMark/>
          </w:tcPr>
          <w:p w14:paraId="76310841"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3F1DB21" w14:textId="77777777" w:rsidTr="0080749A">
        <w:tc>
          <w:tcPr>
            <w:tcW w:w="2438" w:type="dxa"/>
            <w:gridSpan w:val="2"/>
            <w:tcBorders>
              <w:top w:val="single" w:sz="8" w:space="0" w:color="000000"/>
              <w:left w:val="single" w:sz="8" w:space="0" w:color="000000"/>
              <w:bottom w:val="nil"/>
              <w:right w:val="nil"/>
            </w:tcBorders>
            <w:hideMark/>
          </w:tcPr>
          <w:p w14:paraId="474372EF"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19D206E" w14:textId="5BB88EC0" w:rsidR="00D5547E" w:rsidRPr="001356F1" w:rsidRDefault="00CB642C" w:rsidP="00F516F5">
            <w:r>
              <w:t xml:space="preserve">To propose the </w:t>
            </w:r>
            <w:r w:rsidR="009550D7">
              <w:t>set-up</w:t>
            </w:r>
            <w:r w:rsidR="002010C4">
              <w:t xml:space="preserve"> of</w:t>
            </w:r>
            <w:r>
              <w:t xml:space="preserve"> an Oxford </w:t>
            </w:r>
            <w:r w:rsidR="00F84115">
              <w:t xml:space="preserve">lottery to </w:t>
            </w:r>
            <w:r w:rsidR="00F516F5">
              <w:t>raise resources for the voluntary and community sector in Oxford in light of the growing need to raise money for good causes within the city</w:t>
            </w:r>
            <w:proofErr w:type="gramStart"/>
            <w:r w:rsidR="00F516F5">
              <w:t>.</w:t>
            </w:r>
            <w:r w:rsidR="00361026">
              <w:t>.</w:t>
            </w:r>
            <w:proofErr w:type="gramEnd"/>
          </w:p>
        </w:tc>
      </w:tr>
      <w:tr w:rsidR="00D5547E" w14:paraId="117FB6AD" w14:textId="77777777" w:rsidTr="0080749A">
        <w:tc>
          <w:tcPr>
            <w:tcW w:w="2438" w:type="dxa"/>
            <w:gridSpan w:val="2"/>
            <w:tcBorders>
              <w:top w:val="nil"/>
              <w:left w:val="single" w:sz="8" w:space="0" w:color="000000"/>
              <w:bottom w:val="nil"/>
              <w:right w:val="nil"/>
            </w:tcBorders>
            <w:hideMark/>
          </w:tcPr>
          <w:p w14:paraId="7070392F"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C4EAE41" w14:textId="77777777" w:rsidR="00D5547E" w:rsidRPr="001356F1" w:rsidRDefault="00D5547E" w:rsidP="005F7F7E">
            <w:r w:rsidRPr="001356F1">
              <w:t xml:space="preserve">Yes </w:t>
            </w:r>
          </w:p>
        </w:tc>
      </w:tr>
      <w:tr w:rsidR="00D5547E" w14:paraId="622BA14C" w14:textId="77777777" w:rsidTr="0080749A">
        <w:tc>
          <w:tcPr>
            <w:tcW w:w="2438" w:type="dxa"/>
            <w:gridSpan w:val="2"/>
            <w:tcBorders>
              <w:top w:val="nil"/>
              <w:left w:val="single" w:sz="8" w:space="0" w:color="000000"/>
              <w:bottom w:val="nil"/>
              <w:right w:val="nil"/>
            </w:tcBorders>
            <w:hideMark/>
          </w:tcPr>
          <w:p w14:paraId="6B8FD420"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07C9C232" w14:textId="0C183E3E" w:rsidR="00D5547E" w:rsidRPr="001356F1" w:rsidRDefault="00D5547E" w:rsidP="00CB642C">
            <w:r w:rsidRPr="001356F1">
              <w:t>Councillor</w:t>
            </w:r>
            <w:r w:rsidR="00F84115">
              <w:t>s</w:t>
            </w:r>
            <w:r w:rsidRPr="001356F1">
              <w:t xml:space="preserve"> </w:t>
            </w:r>
            <w:r w:rsidR="00A5526A">
              <w:t>Christine Simm, Executive Member</w:t>
            </w:r>
            <w:r w:rsidR="008B5919">
              <w:t xml:space="preserve"> for Community Services and </w:t>
            </w:r>
            <w:r w:rsidR="00CB642C">
              <w:t>Susan Brown,</w:t>
            </w:r>
            <w:r w:rsidR="00A5526A">
              <w:t xml:space="preserve"> Executive Member for</w:t>
            </w:r>
            <w:r w:rsidR="00CB642C">
              <w:t xml:space="preserve"> Customer and Corporate Services</w:t>
            </w:r>
          </w:p>
        </w:tc>
      </w:tr>
      <w:tr w:rsidR="0080749A" w14:paraId="402879D2" w14:textId="77777777" w:rsidTr="0080749A">
        <w:tc>
          <w:tcPr>
            <w:tcW w:w="2438" w:type="dxa"/>
            <w:gridSpan w:val="2"/>
            <w:tcBorders>
              <w:top w:val="nil"/>
              <w:left w:val="single" w:sz="8" w:space="0" w:color="000000"/>
              <w:bottom w:val="nil"/>
              <w:right w:val="nil"/>
            </w:tcBorders>
          </w:tcPr>
          <w:p w14:paraId="3ED7D61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93D4FBA" w14:textId="021017F5" w:rsidR="0080749A" w:rsidRPr="001356F1" w:rsidRDefault="00CB642C" w:rsidP="005F7F7E">
            <w:r>
              <w:t>Efficient, effective Council</w:t>
            </w:r>
            <w:r w:rsidR="00C94257">
              <w:t>, Sustainable Communities</w:t>
            </w:r>
          </w:p>
        </w:tc>
      </w:tr>
      <w:tr w:rsidR="00D5547E" w14:paraId="1D1D49E1" w14:textId="77777777" w:rsidTr="0080749A">
        <w:tc>
          <w:tcPr>
            <w:tcW w:w="2438" w:type="dxa"/>
            <w:gridSpan w:val="2"/>
            <w:tcBorders>
              <w:top w:val="nil"/>
              <w:left w:val="single" w:sz="8" w:space="0" w:color="000000"/>
              <w:bottom w:val="nil"/>
              <w:right w:val="nil"/>
            </w:tcBorders>
            <w:hideMark/>
          </w:tcPr>
          <w:p w14:paraId="6BD652D1"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1833FA7D" w14:textId="77777777" w:rsidR="00D5547E" w:rsidRPr="001356F1" w:rsidRDefault="00CB642C" w:rsidP="005F7F7E">
            <w:r>
              <w:t>none</w:t>
            </w:r>
          </w:p>
        </w:tc>
      </w:tr>
      <w:tr w:rsidR="005F7F7E" w:rsidRPr="00975B07" w14:paraId="5412B8FC" w14:textId="77777777" w:rsidTr="00A46E98">
        <w:trPr>
          <w:trHeight w:val="413"/>
        </w:trPr>
        <w:tc>
          <w:tcPr>
            <w:tcW w:w="8845" w:type="dxa"/>
            <w:gridSpan w:val="3"/>
            <w:tcBorders>
              <w:bottom w:val="single" w:sz="8" w:space="0" w:color="000000"/>
            </w:tcBorders>
          </w:tcPr>
          <w:p w14:paraId="07A8069F" w14:textId="287D3B50" w:rsidR="005F7F7E" w:rsidRPr="00975B07" w:rsidRDefault="009550D7" w:rsidP="004A6D2F">
            <w:r>
              <w:rPr>
                <w:rStyle w:val="Firstpagetablebold"/>
              </w:rPr>
              <w:t>Recommendation</w:t>
            </w:r>
            <w:r w:rsidR="00DE4C47">
              <w:rPr>
                <w:rStyle w:val="Firstpagetablebold"/>
              </w:rPr>
              <w:t>s</w:t>
            </w:r>
            <w:r w:rsidR="005F7F7E">
              <w:rPr>
                <w:rStyle w:val="Firstpagetablebold"/>
              </w:rPr>
              <w:t>:</w:t>
            </w:r>
            <w:r>
              <w:rPr>
                <w:rStyle w:val="Firstpagetablebold"/>
              </w:rPr>
              <w:t xml:space="preserve"> </w:t>
            </w:r>
            <w:r w:rsidR="005F7F7E" w:rsidRPr="009550D7">
              <w:rPr>
                <w:rStyle w:val="Firstpagetablebold"/>
                <w:b w:val="0"/>
              </w:rPr>
              <w:t>That the City Executive Board resolves to:</w:t>
            </w:r>
          </w:p>
        </w:tc>
      </w:tr>
      <w:tr w:rsidR="0030208D" w:rsidRPr="00975B07" w14:paraId="7A511800" w14:textId="77777777" w:rsidTr="00A46E98">
        <w:trPr>
          <w:trHeight w:val="283"/>
        </w:trPr>
        <w:tc>
          <w:tcPr>
            <w:tcW w:w="426" w:type="dxa"/>
            <w:tcBorders>
              <w:top w:val="single" w:sz="8" w:space="0" w:color="000000"/>
              <w:left w:val="single" w:sz="8" w:space="0" w:color="000000"/>
              <w:bottom w:val="nil"/>
              <w:right w:val="nil"/>
            </w:tcBorders>
          </w:tcPr>
          <w:p w14:paraId="6D4F705D"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1B96914E" w14:textId="064399CE" w:rsidR="0030208D" w:rsidRPr="009550D7" w:rsidRDefault="00C94257" w:rsidP="00F519FD">
            <w:pPr>
              <w:rPr>
                <w:b/>
              </w:rPr>
            </w:pPr>
            <w:r w:rsidRPr="009550D7">
              <w:rPr>
                <w:rStyle w:val="Firstpagetablebold"/>
              </w:rPr>
              <w:t xml:space="preserve">Set up </w:t>
            </w:r>
            <w:r w:rsidRPr="009550D7">
              <w:rPr>
                <w:rStyle w:val="Firstpagetablebold"/>
                <w:b w:val="0"/>
              </w:rPr>
              <w:t>an</w:t>
            </w:r>
            <w:r w:rsidR="00CB642C" w:rsidRPr="009550D7">
              <w:rPr>
                <w:rStyle w:val="Firstpagetablebold"/>
                <w:b w:val="0"/>
              </w:rPr>
              <w:t xml:space="preserve"> Oxford lottery to raise money for good causes</w:t>
            </w:r>
            <w:r w:rsidR="00431BBE" w:rsidRPr="009550D7">
              <w:rPr>
                <w:rStyle w:val="Firstpagetablebold"/>
                <w:b w:val="0"/>
              </w:rPr>
              <w:t xml:space="preserve"> within the city</w:t>
            </w:r>
            <w:r w:rsidR="00F519FD" w:rsidRPr="009550D7">
              <w:rPr>
                <w:rStyle w:val="Firstpagetablebold"/>
                <w:b w:val="0"/>
              </w:rPr>
              <w:t xml:space="preserve"> in accordance with the provisions of this report</w:t>
            </w:r>
            <w:r w:rsidR="002069B3" w:rsidRPr="009550D7">
              <w:rPr>
                <w:b/>
              </w:rPr>
              <w:t>;</w:t>
            </w:r>
            <w:r w:rsidR="0030208D" w:rsidRPr="009550D7">
              <w:rPr>
                <w:b/>
              </w:rPr>
              <w:t xml:space="preserve"> </w:t>
            </w:r>
          </w:p>
        </w:tc>
      </w:tr>
      <w:tr w:rsidR="0030208D" w:rsidRPr="00975B07" w14:paraId="66F8E2DE" w14:textId="77777777" w:rsidTr="00A46E98">
        <w:trPr>
          <w:trHeight w:val="283"/>
        </w:trPr>
        <w:tc>
          <w:tcPr>
            <w:tcW w:w="426" w:type="dxa"/>
            <w:tcBorders>
              <w:top w:val="nil"/>
              <w:left w:val="single" w:sz="8" w:space="0" w:color="000000"/>
              <w:bottom w:val="nil"/>
              <w:right w:val="nil"/>
            </w:tcBorders>
          </w:tcPr>
          <w:p w14:paraId="1412C0D2"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2E7C05D7" w14:textId="11AC3AAA" w:rsidR="00811816" w:rsidRPr="009550D7" w:rsidRDefault="00CB642C" w:rsidP="009550D7">
            <w:pPr>
              <w:rPr>
                <w:b/>
              </w:rPr>
            </w:pPr>
            <w:r w:rsidRPr="009550D7">
              <w:rPr>
                <w:rStyle w:val="Firstpagetablebold"/>
              </w:rPr>
              <w:t xml:space="preserve">Delegate </w:t>
            </w:r>
            <w:r w:rsidR="009550D7" w:rsidRPr="009550D7">
              <w:rPr>
                <w:rStyle w:val="Firstpagetablebold"/>
              </w:rPr>
              <w:t>authority</w:t>
            </w:r>
            <w:r w:rsidR="009550D7">
              <w:rPr>
                <w:rStyle w:val="Firstpagetablebold"/>
                <w:b w:val="0"/>
              </w:rPr>
              <w:t xml:space="preserve"> to the</w:t>
            </w:r>
            <w:r w:rsidR="009550D7" w:rsidRPr="009550D7">
              <w:rPr>
                <w:b/>
              </w:rPr>
              <w:t xml:space="preserve"> </w:t>
            </w:r>
            <w:r w:rsidR="009550D7" w:rsidRPr="009550D7">
              <w:rPr>
                <w:rStyle w:val="Firstpagetablebold"/>
                <w:b w:val="0"/>
              </w:rPr>
              <w:t>Executive Director for</w:t>
            </w:r>
            <w:r w:rsidR="009550D7" w:rsidRPr="009550D7">
              <w:rPr>
                <w:b/>
              </w:rPr>
              <w:t xml:space="preserve"> </w:t>
            </w:r>
            <w:r w:rsidR="009550D7" w:rsidRPr="009550D7">
              <w:rPr>
                <w:rStyle w:val="Firstpagetablebold"/>
                <w:b w:val="0"/>
              </w:rPr>
              <w:t>Organisational Development and Corporate Services</w:t>
            </w:r>
            <w:r w:rsidR="009550D7">
              <w:rPr>
                <w:rStyle w:val="Firstpagetablebold"/>
                <w:b w:val="0"/>
              </w:rPr>
              <w:t xml:space="preserve"> </w:t>
            </w:r>
            <w:r w:rsidRPr="009550D7">
              <w:rPr>
                <w:rStyle w:val="Firstpagetablebold"/>
                <w:b w:val="0"/>
              </w:rPr>
              <w:t>the arrangements for establishing the lottery</w:t>
            </w:r>
            <w:r w:rsidR="009550D7">
              <w:rPr>
                <w:rStyle w:val="Firstpagetablebold"/>
                <w:b w:val="0"/>
              </w:rPr>
              <w:t>.</w:t>
            </w:r>
          </w:p>
        </w:tc>
      </w:tr>
      <w:tr w:rsidR="00232F5B" w:rsidRPr="00975B07" w14:paraId="706F085D" w14:textId="77777777" w:rsidTr="00811816">
        <w:trPr>
          <w:trHeight w:val="84"/>
        </w:trPr>
        <w:tc>
          <w:tcPr>
            <w:tcW w:w="426" w:type="dxa"/>
            <w:tcBorders>
              <w:top w:val="nil"/>
              <w:left w:val="single" w:sz="8" w:space="0" w:color="000000"/>
              <w:bottom w:val="single" w:sz="8" w:space="0" w:color="000000"/>
              <w:right w:val="nil"/>
            </w:tcBorders>
          </w:tcPr>
          <w:p w14:paraId="0A53CC57" w14:textId="262E6110"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4BD2C8D2" w14:textId="77777777" w:rsidR="0030208D" w:rsidRPr="001356F1" w:rsidRDefault="0030208D" w:rsidP="00247C29"/>
        </w:tc>
      </w:tr>
    </w:tbl>
    <w:p w14:paraId="6EA0BD16"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452"/>
      </w:tblGrid>
      <w:tr w:rsidR="00966D42" w:rsidRPr="00975B07" w14:paraId="63986CD8" w14:textId="77777777" w:rsidTr="00811816">
        <w:trPr>
          <w:trHeight w:val="228"/>
        </w:trPr>
        <w:tc>
          <w:tcPr>
            <w:tcW w:w="8908" w:type="dxa"/>
            <w:gridSpan w:val="2"/>
            <w:tcBorders>
              <w:top w:val="single" w:sz="8" w:space="0" w:color="000000"/>
              <w:left w:val="single" w:sz="8" w:space="0" w:color="000000"/>
              <w:bottom w:val="single" w:sz="8" w:space="0" w:color="000000"/>
              <w:right w:val="single" w:sz="8" w:space="0" w:color="000000"/>
            </w:tcBorders>
            <w:shd w:val="clear" w:color="auto" w:fill="auto"/>
          </w:tcPr>
          <w:p w14:paraId="2782E503" w14:textId="77777777" w:rsidR="00966D42" w:rsidRPr="00975B07" w:rsidRDefault="00966D42" w:rsidP="00263EA3">
            <w:pPr>
              <w:jc w:val="center"/>
            </w:pPr>
            <w:r w:rsidRPr="00745BF0">
              <w:rPr>
                <w:rStyle w:val="Firstpagetablebold"/>
              </w:rPr>
              <w:t>Appendices</w:t>
            </w:r>
          </w:p>
        </w:tc>
      </w:tr>
      <w:tr w:rsidR="00ED5860" w:rsidRPr="00975B07" w14:paraId="6DBC3304" w14:textId="77777777" w:rsidTr="00811816">
        <w:trPr>
          <w:trHeight w:val="228"/>
        </w:trPr>
        <w:tc>
          <w:tcPr>
            <w:tcW w:w="2456" w:type="dxa"/>
            <w:tcBorders>
              <w:top w:val="single" w:sz="8" w:space="0" w:color="000000"/>
              <w:left w:val="single" w:sz="8" w:space="0" w:color="000000"/>
              <w:bottom w:val="nil"/>
              <w:right w:val="nil"/>
            </w:tcBorders>
            <w:shd w:val="clear" w:color="auto" w:fill="auto"/>
          </w:tcPr>
          <w:p w14:paraId="6994829E" w14:textId="77777777" w:rsidR="00ED5860" w:rsidRPr="00975B07" w:rsidRDefault="00ED5860" w:rsidP="00811816">
            <w:r w:rsidRPr="00975B07">
              <w:t>Appendix 1</w:t>
            </w:r>
          </w:p>
        </w:tc>
        <w:tc>
          <w:tcPr>
            <w:tcW w:w="6452" w:type="dxa"/>
            <w:tcBorders>
              <w:top w:val="single" w:sz="8" w:space="0" w:color="000000"/>
              <w:left w:val="nil"/>
              <w:bottom w:val="nil"/>
              <w:right w:val="single" w:sz="8" w:space="0" w:color="000000"/>
            </w:tcBorders>
          </w:tcPr>
          <w:p w14:paraId="0163D3AD" w14:textId="77777777" w:rsidR="00ED5860" w:rsidRPr="001356F1" w:rsidRDefault="00CB642C" w:rsidP="00811816">
            <w:r>
              <w:t>Example of Criteria for signing up good causes</w:t>
            </w:r>
          </w:p>
        </w:tc>
      </w:tr>
      <w:tr w:rsidR="00ED5860" w:rsidRPr="00975B07" w14:paraId="43F11D3A" w14:textId="77777777" w:rsidTr="00811816">
        <w:trPr>
          <w:trHeight w:val="457"/>
        </w:trPr>
        <w:tc>
          <w:tcPr>
            <w:tcW w:w="2456" w:type="dxa"/>
            <w:tcBorders>
              <w:top w:val="nil"/>
              <w:left w:val="single" w:sz="8" w:space="0" w:color="000000"/>
              <w:bottom w:val="nil"/>
              <w:right w:val="nil"/>
            </w:tcBorders>
            <w:shd w:val="clear" w:color="auto" w:fill="auto"/>
          </w:tcPr>
          <w:p w14:paraId="67FE0FDF" w14:textId="77777777" w:rsidR="00ED5860" w:rsidRPr="00975B07" w:rsidRDefault="0030208D" w:rsidP="00811816">
            <w:r w:rsidRPr="00975B07">
              <w:t>Appendix 2</w:t>
            </w:r>
          </w:p>
        </w:tc>
        <w:tc>
          <w:tcPr>
            <w:tcW w:w="6452" w:type="dxa"/>
            <w:tcBorders>
              <w:top w:val="nil"/>
              <w:left w:val="nil"/>
              <w:bottom w:val="nil"/>
              <w:right w:val="single" w:sz="8" w:space="0" w:color="000000"/>
            </w:tcBorders>
          </w:tcPr>
          <w:p w14:paraId="18B3C74A" w14:textId="5928DD8B" w:rsidR="00811816" w:rsidRPr="001356F1" w:rsidRDefault="00CB642C" w:rsidP="00811816">
            <w:r>
              <w:t>Risk Register</w:t>
            </w:r>
          </w:p>
        </w:tc>
      </w:tr>
      <w:tr w:rsidR="0030208D" w:rsidRPr="00975B07" w14:paraId="47B36BB0" w14:textId="77777777" w:rsidTr="00811816">
        <w:trPr>
          <w:trHeight w:val="82"/>
        </w:trPr>
        <w:tc>
          <w:tcPr>
            <w:tcW w:w="2456" w:type="dxa"/>
            <w:tcBorders>
              <w:top w:val="nil"/>
              <w:left w:val="single" w:sz="8" w:space="0" w:color="000000"/>
              <w:bottom w:val="nil"/>
              <w:right w:val="nil"/>
            </w:tcBorders>
            <w:shd w:val="clear" w:color="auto" w:fill="auto"/>
          </w:tcPr>
          <w:p w14:paraId="13FB0E84" w14:textId="77777777" w:rsidR="0030208D" w:rsidRPr="00975B07" w:rsidRDefault="0030208D" w:rsidP="00811816">
            <w:r w:rsidRPr="00975B07">
              <w:t>Appendix 3</w:t>
            </w:r>
          </w:p>
        </w:tc>
        <w:tc>
          <w:tcPr>
            <w:tcW w:w="6452" w:type="dxa"/>
            <w:tcBorders>
              <w:top w:val="nil"/>
              <w:left w:val="nil"/>
              <w:bottom w:val="nil"/>
              <w:right w:val="single" w:sz="8" w:space="0" w:color="000000"/>
            </w:tcBorders>
          </w:tcPr>
          <w:p w14:paraId="2168ACA1" w14:textId="011490E2" w:rsidR="00811816" w:rsidRPr="001356F1" w:rsidRDefault="00811816" w:rsidP="00811816">
            <w:r>
              <w:t>Equalities Impact Assessment</w:t>
            </w:r>
          </w:p>
        </w:tc>
      </w:tr>
      <w:tr w:rsidR="0030208D" w:rsidRPr="00975B07" w14:paraId="1407AE73" w14:textId="77777777" w:rsidTr="00811816">
        <w:trPr>
          <w:trHeight w:val="82"/>
        </w:trPr>
        <w:tc>
          <w:tcPr>
            <w:tcW w:w="2456" w:type="dxa"/>
            <w:tcBorders>
              <w:top w:val="nil"/>
              <w:left w:val="single" w:sz="8" w:space="0" w:color="000000"/>
              <w:bottom w:val="single" w:sz="8" w:space="0" w:color="000000"/>
              <w:right w:val="nil"/>
            </w:tcBorders>
            <w:shd w:val="clear" w:color="auto" w:fill="auto"/>
          </w:tcPr>
          <w:p w14:paraId="4937188D" w14:textId="0FC81592" w:rsidR="0030208D" w:rsidRPr="00975B07" w:rsidRDefault="00811816" w:rsidP="004A6D2F">
            <w:r>
              <w:t>Appendix 4</w:t>
            </w:r>
          </w:p>
        </w:tc>
        <w:tc>
          <w:tcPr>
            <w:tcW w:w="6452" w:type="dxa"/>
            <w:tcBorders>
              <w:top w:val="nil"/>
              <w:left w:val="nil"/>
              <w:bottom w:val="single" w:sz="8" w:space="0" w:color="000000"/>
              <w:right w:val="single" w:sz="8" w:space="0" w:color="000000"/>
            </w:tcBorders>
          </w:tcPr>
          <w:p w14:paraId="61B5BC5A" w14:textId="09F04BC6" w:rsidR="0030208D" w:rsidRPr="001356F1" w:rsidRDefault="00811816" w:rsidP="004A6D2F">
            <w:r>
              <w:t>Gambling Commission Requirements</w:t>
            </w:r>
          </w:p>
        </w:tc>
      </w:tr>
    </w:tbl>
    <w:p w14:paraId="05BC3EE2" w14:textId="77777777" w:rsidR="00CB642C" w:rsidRDefault="00CB642C" w:rsidP="004A6D2F">
      <w:pPr>
        <w:pStyle w:val="Heading1"/>
      </w:pPr>
    </w:p>
    <w:p w14:paraId="21C5140F" w14:textId="77777777" w:rsidR="0040736F" w:rsidRDefault="00F66DCA" w:rsidP="005928E1">
      <w:pPr>
        <w:pStyle w:val="Heading1"/>
        <w:ind w:firstLine="720"/>
      </w:pPr>
      <w:r w:rsidRPr="001356F1">
        <w:t>Introduction and b</w:t>
      </w:r>
      <w:r w:rsidR="00151888" w:rsidRPr="001356F1">
        <w:t>ackground</w:t>
      </w:r>
      <w:r w:rsidR="00404032" w:rsidRPr="001356F1">
        <w:t xml:space="preserve"> </w:t>
      </w:r>
    </w:p>
    <w:p w14:paraId="187AE338" w14:textId="15EB46A8" w:rsidR="00CB642C" w:rsidRPr="005928E1" w:rsidRDefault="00CB642C" w:rsidP="005928E1">
      <w:pPr>
        <w:pStyle w:val="ListParagraph"/>
        <w:numPr>
          <w:ilvl w:val="0"/>
          <w:numId w:val="38"/>
        </w:numPr>
        <w:rPr>
          <w:rFonts w:eastAsia="Calibri"/>
          <w:lang w:eastAsia="en-US"/>
        </w:rPr>
      </w:pPr>
      <w:r w:rsidRPr="005928E1">
        <w:rPr>
          <w:rFonts w:eastAsia="Calibri"/>
          <w:lang w:eastAsia="en-US"/>
        </w:rPr>
        <w:t>The Council currently provides £</w:t>
      </w:r>
      <w:r w:rsidR="00F516F5">
        <w:rPr>
          <w:rFonts w:eastAsia="Calibri"/>
          <w:lang w:eastAsia="en-US"/>
        </w:rPr>
        <w:t>1,430,970</w:t>
      </w:r>
      <w:r w:rsidRPr="005928E1">
        <w:rPr>
          <w:rFonts w:eastAsia="Calibri"/>
          <w:lang w:eastAsia="en-US"/>
        </w:rPr>
        <w:t xml:space="preserve"> of funding </w:t>
      </w:r>
      <w:r w:rsidR="00F516F5">
        <w:rPr>
          <w:rFonts w:eastAsia="Calibri"/>
          <w:lang w:eastAsia="en-US"/>
        </w:rPr>
        <w:t>or the voluntary and community sector to</w:t>
      </w:r>
      <w:r w:rsidRPr="005928E1">
        <w:rPr>
          <w:rFonts w:eastAsia="Calibri"/>
          <w:lang w:eastAsia="en-US"/>
        </w:rPr>
        <w:t xml:space="preserve"> support the delivery of Council objectives. Demand for financial support from the Council is increasing as a result of reductions in grant funding from other organisations,</w:t>
      </w:r>
      <w:r w:rsidR="00F516F5">
        <w:rPr>
          <w:rFonts w:eastAsia="Calibri"/>
          <w:lang w:eastAsia="en-US"/>
        </w:rPr>
        <w:t xml:space="preserve"> including the County Council,</w:t>
      </w:r>
      <w:r w:rsidRPr="005928E1">
        <w:rPr>
          <w:rFonts w:eastAsia="Calibri"/>
          <w:lang w:eastAsia="en-US"/>
        </w:rPr>
        <w:t xml:space="preserve"> and increased demand for services. The Council’s open bidding grants programme is always oversubscribed, and in 15/16 received requests for funding which totalled three times the amount of money available.</w:t>
      </w:r>
    </w:p>
    <w:p w14:paraId="63B1902E" w14:textId="5F9A89BE" w:rsidR="00CB642C" w:rsidRPr="005928E1" w:rsidRDefault="00CB642C" w:rsidP="005928E1">
      <w:pPr>
        <w:pStyle w:val="ListParagraph"/>
        <w:numPr>
          <w:ilvl w:val="0"/>
          <w:numId w:val="38"/>
        </w:numPr>
        <w:rPr>
          <w:rFonts w:eastAsia="Calibri"/>
          <w:lang w:eastAsia="en-US"/>
        </w:rPr>
      </w:pPr>
      <w:r w:rsidRPr="005928E1">
        <w:rPr>
          <w:rFonts w:eastAsia="Calibri"/>
          <w:lang w:eastAsia="en-US"/>
        </w:rPr>
        <w:t xml:space="preserve">It is expected that </w:t>
      </w:r>
      <w:r w:rsidR="00975423" w:rsidRPr="005928E1">
        <w:rPr>
          <w:rFonts w:eastAsia="Calibri"/>
          <w:lang w:eastAsia="en-US"/>
        </w:rPr>
        <w:t xml:space="preserve">funding pressures on </w:t>
      </w:r>
      <w:r w:rsidR="005A12F4">
        <w:rPr>
          <w:rFonts w:eastAsia="Calibri"/>
          <w:lang w:eastAsia="en-US"/>
        </w:rPr>
        <w:t>the County Council</w:t>
      </w:r>
      <w:r w:rsidR="00FE409B" w:rsidRPr="005928E1">
        <w:rPr>
          <w:rFonts w:eastAsia="Calibri"/>
          <w:lang w:eastAsia="en-US"/>
        </w:rPr>
        <w:t xml:space="preserve"> will result in</w:t>
      </w:r>
      <w:r w:rsidRPr="005928E1">
        <w:rPr>
          <w:rFonts w:eastAsia="Calibri"/>
          <w:lang w:eastAsia="en-US"/>
        </w:rPr>
        <w:t xml:space="preserve"> further cuts in support to a range of organisations in 17/</w:t>
      </w:r>
      <w:proofErr w:type="gramStart"/>
      <w:r w:rsidRPr="005928E1">
        <w:rPr>
          <w:rFonts w:eastAsia="Calibri"/>
          <w:lang w:eastAsia="en-US"/>
        </w:rPr>
        <w:t>18,</w:t>
      </w:r>
      <w:proofErr w:type="gramEnd"/>
      <w:r w:rsidRPr="005928E1">
        <w:rPr>
          <w:rFonts w:eastAsia="Calibri"/>
          <w:lang w:eastAsia="en-US"/>
        </w:rPr>
        <w:t xml:space="preserve"> hence it is likely the City’s grants pot will come under even greater pressure.  </w:t>
      </w:r>
    </w:p>
    <w:p w14:paraId="324F4E71" w14:textId="735CFBA5" w:rsidR="00CB642C" w:rsidRPr="005928E1" w:rsidRDefault="00CB642C" w:rsidP="005928E1">
      <w:pPr>
        <w:pStyle w:val="ListParagraph"/>
        <w:numPr>
          <w:ilvl w:val="0"/>
          <w:numId w:val="38"/>
        </w:numPr>
        <w:rPr>
          <w:rFonts w:eastAsia="Calibri"/>
          <w:lang w:eastAsia="en-US"/>
        </w:rPr>
      </w:pPr>
      <w:r w:rsidRPr="005928E1">
        <w:rPr>
          <w:rFonts w:eastAsia="Calibri"/>
          <w:lang w:eastAsia="en-US"/>
        </w:rPr>
        <w:t>In November 2015 Aylesbury Vale District Council</w:t>
      </w:r>
      <w:r w:rsidR="00431BBE">
        <w:rPr>
          <w:rFonts w:eastAsia="Calibri"/>
          <w:lang w:eastAsia="en-US"/>
        </w:rPr>
        <w:t xml:space="preserve"> </w:t>
      </w:r>
      <w:r w:rsidR="00AA4B32" w:rsidRPr="005928E1">
        <w:rPr>
          <w:rFonts w:eastAsia="Calibri"/>
          <w:lang w:eastAsia="en-US"/>
        </w:rPr>
        <w:t>(AVDC)</w:t>
      </w:r>
      <w:r w:rsidRPr="005928E1">
        <w:rPr>
          <w:rFonts w:eastAsia="Calibri"/>
          <w:lang w:eastAsia="en-US"/>
        </w:rPr>
        <w:t xml:space="preserve"> launched the first Local Authority lottery. This was introduced to help provide funding for good causes in the district. AVDC have raised £60,000 for good causes in the first six months of its operation. AVDC use an External Lottery Manager (ELM) to administer the lottery on its behalf.  There is no cost to the Council for this service, but the ELM </w:t>
      </w:r>
      <w:r w:rsidR="005A12F4">
        <w:rPr>
          <w:rFonts w:eastAsia="Calibri"/>
          <w:lang w:eastAsia="en-US"/>
        </w:rPr>
        <w:t>is funded from a share of the</w:t>
      </w:r>
      <w:r w:rsidRPr="005928E1">
        <w:rPr>
          <w:rFonts w:eastAsia="Calibri"/>
          <w:lang w:eastAsia="en-US"/>
        </w:rPr>
        <w:t xml:space="preserve"> ticket cost. </w:t>
      </w:r>
      <w:r w:rsidR="005A12F4">
        <w:rPr>
          <w:rFonts w:eastAsia="Calibri"/>
          <w:lang w:eastAsia="en-US"/>
        </w:rPr>
        <w:t>O</w:t>
      </w:r>
      <w:r w:rsidRPr="005928E1">
        <w:rPr>
          <w:rFonts w:eastAsia="Calibri"/>
          <w:lang w:eastAsia="en-US"/>
        </w:rPr>
        <w:t xml:space="preserve">ther authorities have subsequently developed their own lotteries including Portsmouth City Council, Melton Borough Council, and Stoke-on-Trent City Council. </w:t>
      </w:r>
    </w:p>
    <w:p w14:paraId="2781092A" w14:textId="3004263E" w:rsidR="00CB642C" w:rsidRDefault="00CB642C" w:rsidP="005928E1">
      <w:pPr>
        <w:pStyle w:val="ListParagraph"/>
        <w:numPr>
          <w:ilvl w:val="0"/>
          <w:numId w:val="38"/>
        </w:numPr>
        <w:rPr>
          <w:rFonts w:eastAsia="Calibri"/>
          <w:lang w:eastAsia="en-US"/>
        </w:rPr>
      </w:pPr>
      <w:r w:rsidRPr="005928E1">
        <w:rPr>
          <w:rFonts w:eastAsia="Calibri"/>
          <w:lang w:eastAsia="en-US"/>
        </w:rPr>
        <w:t xml:space="preserve">Establishing a similar lottery in Oxford could raise, at conservative estimates, £100,000 annually for causes in the city. This report uses the AVDC lottery as a case study. There are a number of different </w:t>
      </w:r>
      <w:r w:rsidR="00923AF4" w:rsidRPr="005928E1">
        <w:rPr>
          <w:rFonts w:eastAsia="Calibri"/>
          <w:lang w:eastAsia="en-US"/>
        </w:rPr>
        <w:t>External lottery managers</w:t>
      </w:r>
      <w:r w:rsidRPr="005928E1">
        <w:rPr>
          <w:rFonts w:eastAsia="Calibri"/>
          <w:lang w:eastAsia="en-US"/>
        </w:rPr>
        <w:t xml:space="preserve"> in operation. Each provides a different model in relation to pricing, prize structures, and apportionment of the ticket price. If Members agree </w:t>
      </w:r>
      <w:r w:rsidR="00923AF4" w:rsidRPr="005928E1">
        <w:rPr>
          <w:rFonts w:eastAsia="Calibri"/>
          <w:lang w:eastAsia="en-US"/>
        </w:rPr>
        <w:t xml:space="preserve">the </w:t>
      </w:r>
      <w:r w:rsidRPr="005928E1">
        <w:rPr>
          <w:rFonts w:eastAsia="Calibri"/>
          <w:lang w:eastAsia="en-US"/>
        </w:rPr>
        <w:t>develop</w:t>
      </w:r>
      <w:r w:rsidR="00923AF4" w:rsidRPr="005928E1">
        <w:rPr>
          <w:rFonts w:eastAsia="Calibri"/>
          <w:lang w:eastAsia="en-US"/>
        </w:rPr>
        <w:t>ment of</w:t>
      </w:r>
      <w:r w:rsidRPr="005928E1">
        <w:rPr>
          <w:rFonts w:eastAsia="Calibri"/>
          <w:lang w:eastAsia="en-US"/>
        </w:rPr>
        <w:t xml:space="preserve"> an Oxford lottery, then a procurement exercise would be undertaken to contract with an ELM that best meets the Council’s requirements.</w:t>
      </w:r>
      <w:r w:rsidR="00AC476F" w:rsidRPr="005928E1">
        <w:rPr>
          <w:rFonts w:eastAsia="Calibri"/>
          <w:lang w:eastAsia="en-US"/>
        </w:rPr>
        <w:t xml:space="preserve"> Details of the AVDC lottery can be found on its website, </w:t>
      </w:r>
      <w:hyperlink r:id="rId9" w:history="1">
        <w:r w:rsidR="005928E1" w:rsidRPr="00D5797A">
          <w:rPr>
            <w:rStyle w:val="Hyperlink"/>
            <w:rFonts w:eastAsia="Calibri"/>
            <w:lang w:eastAsia="en-US"/>
          </w:rPr>
          <w:t>https://www.valelottery.co.uk</w:t>
        </w:r>
      </w:hyperlink>
    </w:p>
    <w:p w14:paraId="425C2D99" w14:textId="77777777" w:rsidR="00CB642C" w:rsidRPr="005928E1" w:rsidRDefault="00CB642C" w:rsidP="005928E1">
      <w:pPr>
        <w:pStyle w:val="ListParagraph"/>
        <w:numPr>
          <w:ilvl w:val="0"/>
          <w:numId w:val="0"/>
        </w:numPr>
        <w:ind w:left="720"/>
        <w:rPr>
          <w:rFonts w:eastAsia="Calibri"/>
          <w:b/>
          <w:lang w:eastAsia="en-US"/>
        </w:rPr>
      </w:pPr>
      <w:r w:rsidRPr="005928E1">
        <w:rPr>
          <w:rFonts w:eastAsia="Calibri"/>
          <w:b/>
          <w:lang w:eastAsia="en-US"/>
        </w:rPr>
        <w:t>Operating principles</w:t>
      </w:r>
    </w:p>
    <w:p w14:paraId="007849D5" w14:textId="23CCB438" w:rsidR="00CB642C" w:rsidRPr="005928E1" w:rsidRDefault="00CB642C" w:rsidP="005928E1">
      <w:pPr>
        <w:pStyle w:val="ListParagraph"/>
        <w:numPr>
          <w:ilvl w:val="0"/>
          <w:numId w:val="38"/>
        </w:numPr>
        <w:rPr>
          <w:rFonts w:eastAsia="Calibri"/>
          <w:lang w:eastAsia="en-US"/>
        </w:rPr>
      </w:pPr>
      <w:r w:rsidRPr="005928E1">
        <w:rPr>
          <w:rFonts w:eastAsia="Calibri"/>
          <w:lang w:eastAsia="en-US"/>
        </w:rPr>
        <w:t xml:space="preserve">Proceeds from the sale of tickets are used to support local good causes. Tickets cost £1, of which 50p goes to the purchaser’s nominated fund, 8p goes to a central Council fund, 20p goes to the prize fund, 18p goes to the ELM and 4p is for VAT. </w:t>
      </w:r>
      <w:r w:rsidR="005A12F4">
        <w:rPr>
          <w:rFonts w:eastAsia="Calibri"/>
          <w:lang w:eastAsia="en-US"/>
        </w:rPr>
        <w:t xml:space="preserve">The central fund can be used by the council either to increase its overall funding of the voluntary and community sector, or to free up budget to be used elsewhere. </w:t>
      </w:r>
      <w:r w:rsidRPr="005928E1">
        <w:rPr>
          <w:rFonts w:eastAsia="Calibri"/>
          <w:lang w:eastAsia="en-US"/>
        </w:rPr>
        <w:t>Due to the success of the Vale Lottery, AVDC have recently announced an increase in the top prize from £20,000 to £25,000 and an increase in the amount that goes to good causes to 60%.</w:t>
      </w:r>
    </w:p>
    <w:p w14:paraId="59D28189" w14:textId="4A00F537" w:rsidR="00431BBE" w:rsidRDefault="00CB642C" w:rsidP="00431BBE">
      <w:pPr>
        <w:pStyle w:val="ListParagraph"/>
        <w:numPr>
          <w:ilvl w:val="0"/>
          <w:numId w:val="38"/>
        </w:numPr>
        <w:rPr>
          <w:rFonts w:eastAsia="Calibri"/>
          <w:lang w:eastAsia="en-US"/>
        </w:rPr>
      </w:pPr>
      <w:r w:rsidRPr="005928E1">
        <w:rPr>
          <w:rFonts w:eastAsia="Calibri"/>
          <w:lang w:eastAsia="en-US"/>
        </w:rPr>
        <w:t>To streamline administration, AVDC’s lottery is only available online and payment for tickets is made by Direct Debit or payment card.</w:t>
      </w:r>
      <w:r w:rsidR="00431BBE">
        <w:rPr>
          <w:rFonts w:eastAsia="Calibri"/>
          <w:lang w:eastAsia="en-US"/>
        </w:rPr>
        <w:t xml:space="preserve"> </w:t>
      </w:r>
      <w:r w:rsidRPr="005928E1">
        <w:rPr>
          <w:rFonts w:eastAsia="Calibri"/>
          <w:lang w:eastAsia="en-US"/>
        </w:rPr>
        <w:t xml:space="preserve">The ticket purchaser can choose which good cause to support, or they can support the central fund. Players have a 1 in 50 chance of winning something. </w:t>
      </w:r>
      <w:r w:rsidR="00431BBE" w:rsidRPr="00431BBE">
        <w:rPr>
          <w:rFonts w:eastAsia="Calibri"/>
          <w:lang w:eastAsia="en-US"/>
        </w:rPr>
        <w:t xml:space="preserve">It is proposed that an Oxford lottery would </w:t>
      </w:r>
      <w:r w:rsidR="00431BBE">
        <w:rPr>
          <w:rFonts w:eastAsia="Calibri"/>
          <w:lang w:eastAsia="en-US"/>
        </w:rPr>
        <w:t>also only be available online.</w:t>
      </w:r>
    </w:p>
    <w:p w14:paraId="21CC15F9" w14:textId="77777777" w:rsidR="009550D7" w:rsidRDefault="009550D7" w:rsidP="009550D7">
      <w:pPr>
        <w:rPr>
          <w:rFonts w:eastAsia="Calibri"/>
          <w:lang w:eastAsia="en-US"/>
        </w:rPr>
      </w:pPr>
    </w:p>
    <w:p w14:paraId="44F18EE2" w14:textId="77777777" w:rsidR="009550D7" w:rsidRDefault="009550D7" w:rsidP="009550D7">
      <w:pPr>
        <w:rPr>
          <w:rFonts w:eastAsia="Calibri"/>
          <w:lang w:eastAsia="en-US"/>
        </w:rPr>
      </w:pPr>
    </w:p>
    <w:p w14:paraId="020359A2" w14:textId="77777777" w:rsidR="009550D7" w:rsidRPr="009550D7" w:rsidRDefault="009550D7" w:rsidP="009550D7">
      <w:pPr>
        <w:rPr>
          <w:rFonts w:eastAsia="Calibri"/>
          <w:lang w:eastAsia="en-US"/>
        </w:rPr>
      </w:pPr>
    </w:p>
    <w:p w14:paraId="5E4E39E9" w14:textId="77777777" w:rsidR="00CB642C" w:rsidRPr="005928E1" w:rsidRDefault="00CB642C" w:rsidP="005928E1">
      <w:pPr>
        <w:pStyle w:val="ListParagraph"/>
        <w:numPr>
          <w:ilvl w:val="0"/>
          <w:numId w:val="0"/>
        </w:numPr>
        <w:ind w:left="720"/>
        <w:rPr>
          <w:rFonts w:eastAsia="Calibri"/>
          <w:b/>
          <w:lang w:eastAsia="en-US"/>
        </w:rPr>
      </w:pPr>
      <w:r w:rsidRPr="005928E1">
        <w:rPr>
          <w:rFonts w:eastAsia="Calibri"/>
          <w:b/>
          <w:lang w:eastAsia="en-US"/>
        </w:rPr>
        <w:lastRenderedPageBreak/>
        <w:t>Good Causes</w:t>
      </w:r>
    </w:p>
    <w:p w14:paraId="6587366A" w14:textId="6487E784" w:rsidR="00CB642C" w:rsidRPr="005928E1" w:rsidRDefault="00CB642C" w:rsidP="005928E1">
      <w:pPr>
        <w:pStyle w:val="ListParagraph"/>
        <w:numPr>
          <w:ilvl w:val="0"/>
          <w:numId w:val="38"/>
        </w:numPr>
        <w:rPr>
          <w:rFonts w:eastAsia="Calibri"/>
          <w:lang w:eastAsia="en-US"/>
        </w:rPr>
      </w:pPr>
      <w:r w:rsidRPr="005928E1">
        <w:rPr>
          <w:rFonts w:eastAsia="Calibri"/>
          <w:lang w:eastAsia="en-US"/>
        </w:rPr>
        <w:t>Each good cause that is supported by the lottery has its own page within the lottery website and is provided with their own bespoke marketing material by the ELM. Each good cause is incentivised to promote the lottery by encouraging supporters to buy tickets and select</w:t>
      </w:r>
      <w:r w:rsidR="00C0747B" w:rsidRPr="005928E1">
        <w:rPr>
          <w:rFonts w:eastAsia="Calibri"/>
          <w:lang w:eastAsia="en-US"/>
        </w:rPr>
        <w:t xml:space="preserve"> </w:t>
      </w:r>
      <w:r w:rsidRPr="005928E1">
        <w:rPr>
          <w:rFonts w:eastAsia="Calibri"/>
          <w:lang w:eastAsia="en-US"/>
        </w:rPr>
        <w:t>them</w:t>
      </w:r>
      <w:r w:rsidR="00C0747B" w:rsidRPr="005928E1">
        <w:rPr>
          <w:rFonts w:eastAsia="Calibri"/>
          <w:lang w:eastAsia="en-US"/>
        </w:rPr>
        <w:t xml:space="preserve"> </w:t>
      </w:r>
      <w:r w:rsidRPr="005928E1">
        <w:rPr>
          <w:rFonts w:eastAsia="Calibri"/>
          <w:lang w:eastAsia="en-US"/>
        </w:rPr>
        <w:t xml:space="preserve">as the good cause to support. </w:t>
      </w:r>
    </w:p>
    <w:p w14:paraId="0FD83336" w14:textId="34FB756A" w:rsidR="00CB642C" w:rsidRPr="005928E1" w:rsidRDefault="00CB642C" w:rsidP="005928E1">
      <w:pPr>
        <w:pStyle w:val="ListParagraph"/>
        <w:numPr>
          <w:ilvl w:val="0"/>
          <w:numId w:val="38"/>
        </w:numPr>
        <w:rPr>
          <w:rFonts w:eastAsia="Calibri"/>
          <w:lang w:eastAsia="en-US"/>
        </w:rPr>
      </w:pPr>
      <w:r w:rsidRPr="005928E1">
        <w:rPr>
          <w:rFonts w:eastAsia="Calibri"/>
          <w:lang w:eastAsia="en-US"/>
        </w:rPr>
        <w:t xml:space="preserve">The </w:t>
      </w:r>
      <w:r w:rsidR="00D82D73" w:rsidRPr="005928E1">
        <w:rPr>
          <w:rFonts w:eastAsia="Calibri"/>
          <w:lang w:eastAsia="en-US"/>
        </w:rPr>
        <w:t xml:space="preserve">Local authority </w:t>
      </w:r>
      <w:r w:rsidRPr="005928E1">
        <w:rPr>
          <w:rFonts w:eastAsia="Calibri"/>
          <w:lang w:eastAsia="en-US"/>
        </w:rPr>
        <w:t xml:space="preserve">is responsible for establishing the criteria </w:t>
      </w:r>
      <w:r w:rsidR="00D82D73" w:rsidRPr="005928E1">
        <w:rPr>
          <w:rFonts w:eastAsia="Calibri"/>
          <w:lang w:eastAsia="en-US"/>
        </w:rPr>
        <w:t xml:space="preserve">for </w:t>
      </w:r>
      <w:r w:rsidRPr="005928E1">
        <w:rPr>
          <w:rFonts w:eastAsia="Calibri"/>
          <w:lang w:eastAsia="en-US"/>
        </w:rPr>
        <w:t>what counts as a good cause. AVDC have defined this quite widely as an organisation which benefits local residents (Appendix One contains the full criteria used by AVDC for accepting good causes). AVDC have over 100 organisations signed up as good causes which include: mental health charities, hospices, community libraries and local sports clubs.</w:t>
      </w:r>
    </w:p>
    <w:p w14:paraId="21C8842C" w14:textId="787D624B" w:rsidR="00CB642C" w:rsidRPr="005928E1" w:rsidRDefault="00CB642C" w:rsidP="005928E1">
      <w:pPr>
        <w:pStyle w:val="ListParagraph"/>
        <w:numPr>
          <w:ilvl w:val="0"/>
          <w:numId w:val="38"/>
        </w:numPr>
        <w:rPr>
          <w:rFonts w:eastAsia="Calibri"/>
          <w:lang w:eastAsia="en-US"/>
        </w:rPr>
      </w:pPr>
      <w:r w:rsidRPr="005928E1">
        <w:rPr>
          <w:rFonts w:eastAsia="Calibri"/>
          <w:lang w:eastAsia="en-US"/>
        </w:rPr>
        <w:t>If Members agree to the development of an Oxford lottery,</w:t>
      </w:r>
      <w:r w:rsidRPr="005928E1">
        <w:rPr>
          <w:rFonts w:ascii="Calibri" w:eastAsia="Calibri" w:hAnsi="Calibri"/>
          <w:lang w:eastAsia="en-US"/>
        </w:rPr>
        <w:t xml:space="preserve"> t</w:t>
      </w:r>
      <w:r w:rsidRPr="005928E1">
        <w:rPr>
          <w:rFonts w:eastAsia="Calibri"/>
          <w:lang w:eastAsia="en-US"/>
        </w:rPr>
        <w:t xml:space="preserve">he Council would need to develop a process for accepting and signing up good causes. Ongoing work which is required is the approval of payments, and signing up good causes. AVDC indicate this is not onerous and could be incorporated within existing </w:t>
      </w:r>
      <w:r w:rsidR="00871640" w:rsidRPr="005928E1">
        <w:rPr>
          <w:rFonts w:eastAsia="Calibri"/>
          <w:lang w:eastAsia="en-US"/>
        </w:rPr>
        <w:t>resources</w:t>
      </w:r>
      <w:r w:rsidRPr="005928E1">
        <w:rPr>
          <w:rFonts w:eastAsia="Calibri"/>
          <w:lang w:eastAsia="en-US"/>
        </w:rPr>
        <w:t>. It is proposed that this work would be managed by the Council’s Communities Team. Communities are best placed to develop appropriate criteria for signing up good causes, and ensure that the aims of these organisations have a strong al</w:t>
      </w:r>
      <w:r w:rsidR="006419F9">
        <w:rPr>
          <w:rFonts w:eastAsia="Calibri"/>
          <w:lang w:eastAsia="en-US"/>
        </w:rPr>
        <w:t>ignment with Council priorities, and that they are able to demonstrate the outcomes they have achieved.</w:t>
      </w:r>
      <w:r w:rsidR="009A0BD5">
        <w:rPr>
          <w:rFonts w:eastAsia="Calibri"/>
          <w:lang w:eastAsia="en-US"/>
        </w:rPr>
        <w:t xml:space="preserve"> Additionally, when establishing the specific criteria, consideration will be given to the area benefitting from an organisation</w:t>
      </w:r>
      <w:r w:rsidR="00697942">
        <w:rPr>
          <w:rFonts w:eastAsia="Calibri"/>
          <w:lang w:eastAsia="en-US"/>
        </w:rPr>
        <w:t>’</w:t>
      </w:r>
      <w:r w:rsidR="009A0BD5">
        <w:rPr>
          <w:rFonts w:eastAsia="Calibri"/>
          <w:lang w:eastAsia="en-US"/>
        </w:rPr>
        <w:t>s activities</w:t>
      </w:r>
      <w:r w:rsidR="00697942">
        <w:rPr>
          <w:rFonts w:eastAsia="Calibri"/>
          <w:lang w:eastAsia="en-US"/>
        </w:rPr>
        <w:t xml:space="preserve"> and</w:t>
      </w:r>
      <w:r w:rsidR="009A0BD5">
        <w:rPr>
          <w:rFonts w:eastAsia="Calibri"/>
          <w:lang w:eastAsia="en-US"/>
        </w:rPr>
        <w:t xml:space="preserve"> the financial viability of </w:t>
      </w:r>
      <w:r w:rsidR="00697942">
        <w:rPr>
          <w:rFonts w:eastAsia="Calibri"/>
          <w:lang w:eastAsia="en-US"/>
        </w:rPr>
        <w:t>the organisation.</w:t>
      </w:r>
    </w:p>
    <w:p w14:paraId="2483430F" w14:textId="5A2D798C" w:rsidR="00CB642C" w:rsidRPr="005928E1" w:rsidRDefault="00CB642C" w:rsidP="006419F9">
      <w:pPr>
        <w:pStyle w:val="Bulletpoints"/>
        <w:numPr>
          <w:ilvl w:val="0"/>
          <w:numId w:val="38"/>
        </w:numPr>
        <w:rPr>
          <w:rFonts w:eastAsia="Calibri"/>
          <w:lang w:eastAsia="en-US"/>
        </w:rPr>
      </w:pPr>
      <w:r w:rsidRPr="005928E1">
        <w:rPr>
          <w:rFonts w:eastAsia="Calibri"/>
          <w:lang w:eastAsia="en-US"/>
        </w:rPr>
        <w:t>The</w:t>
      </w:r>
      <w:r w:rsidR="00225FD0" w:rsidRPr="005928E1">
        <w:rPr>
          <w:rFonts w:eastAsia="Calibri"/>
          <w:lang w:eastAsia="en-US"/>
        </w:rPr>
        <w:t xml:space="preserve"> </w:t>
      </w:r>
      <w:r w:rsidR="00AC476F" w:rsidRPr="005928E1">
        <w:rPr>
          <w:rFonts w:eastAsia="Calibri"/>
          <w:lang w:eastAsia="en-US"/>
        </w:rPr>
        <w:t>indicative</w:t>
      </w:r>
      <w:r w:rsidRPr="005928E1">
        <w:rPr>
          <w:rFonts w:eastAsia="Calibri"/>
          <w:lang w:eastAsia="en-US"/>
        </w:rPr>
        <w:t xml:space="preserve"> timescale for delivering a lottery would be within six months, and the start-up costs are £3,000. The process is broadly as follows:</w:t>
      </w:r>
    </w:p>
    <w:p w14:paraId="5AB05D55" w14:textId="77777777" w:rsidR="00CB642C" w:rsidRPr="005928E1" w:rsidRDefault="00CB642C" w:rsidP="006419F9">
      <w:pPr>
        <w:pStyle w:val="Bulletpoints"/>
        <w:numPr>
          <w:ilvl w:val="0"/>
          <w:numId w:val="39"/>
        </w:numPr>
        <w:rPr>
          <w:rFonts w:eastAsia="Calibri"/>
          <w:lang w:eastAsia="en-US"/>
        </w:rPr>
      </w:pPr>
      <w:r w:rsidRPr="005928E1">
        <w:rPr>
          <w:rFonts w:eastAsia="Calibri"/>
          <w:lang w:eastAsia="en-US"/>
        </w:rPr>
        <w:t xml:space="preserve">Procure an ELM – three months </w:t>
      </w:r>
    </w:p>
    <w:p w14:paraId="3AF95946" w14:textId="77777777" w:rsidR="00CB642C" w:rsidRPr="005928E1" w:rsidRDefault="00CB642C" w:rsidP="006419F9">
      <w:pPr>
        <w:pStyle w:val="Bulletpoints"/>
        <w:numPr>
          <w:ilvl w:val="0"/>
          <w:numId w:val="39"/>
        </w:numPr>
        <w:rPr>
          <w:rFonts w:eastAsia="Calibri"/>
          <w:lang w:eastAsia="en-US"/>
        </w:rPr>
      </w:pPr>
      <w:r w:rsidRPr="005928E1">
        <w:rPr>
          <w:rFonts w:eastAsia="Calibri"/>
          <w:lang w:eastAsia="en-US"/>
        </w:rPr>
        <w:t>Apply for licence from Gambling Commission – six weeks (could be concurrent with above)</w:t>
      </w:r>
    </w:p>
    <w:p w14:paraId="0AE2B2A4" w14:textId="77777777" w:rsidR="00CB642C" w:rsidRPr="005928E1" w:rsidRDefault="00CB642C" w:rsidP="006419F9">
      <w:pPr>
        <w:pStyle w:val="Bulletpoints"/>
        <w:numPr>
          <w:ilvl w:val="0"/>
          <w:numId w:val="39"/>
        </w:numPr>
        <w:rPr>
          <w:rFonts w:eastAsia="Calibri"/>
          <w:lang w:eastAsia="en-US"/>
        </w:rPr>
      </w:pPr>
      <w:r w:rsidRPr="005928E1">
        <w:rPr>
          <w:rFonts w:eastAsia="Calibri"/>
          <w:lang w:eastAsia="en-US"/>
        </w:rPr>
        <w:t>Launch the lottery for good causes – six weeks</w:t>
      </w:r>
    </w:p>
    <w:p w14:paraId="132F8FFF" w14:textId="77777777" w:rsidR="00225FD0" w:rsidRPr="005928E1" w:rsidRDefault="00CB642C" w:rsidP="006419F9">
      <w:pPr>
        <w:pStyle w:val="Bulletpoints"/>
        <w:numPr>
          <w:ilvl w:val="0"/>
          <w:numId w:val="39"/>
        </w:numPr>
        <w:rPr>
          <w:rFonts w:eastAsia="Calibri"/>
          <w:lang w:eastAsia="en-US"/>
        </w:rPr>
      </w:pPr>
      <w:r w:rsidRPr="005928E1">
        <w:rPr>
          <w:rFonts w:eastAsia="Calibri"/>
          <w:lang w:eastAsia="en-US"/>
        </w:rPr>
        <w:t>Launch the lottery for players – six weeks</w:t>
      </w:r>
    </w:p>
    <w:p w14:paraId="38D8E8C2" w14:textId="3422198C" w:rsidR="00CB642C" w:rsidRPr="005928E1" w:rsidRDefault="00AC476F" w:rsidP="005928E1">
      <w:pPr>
        <w:pStyle w:val="ListParagraph"/>
        <w:numPr>
          <w:ilvl w:val="0"/>
          <w:numId w:val="38"/>
        </w:numPr>
        <w:rPr>
          <w:rFonts w:eastAsia="Calibri"/>
          <w:lang w:eastAsia="en-US"/>
        </w:rPr>
      </w:pPr>
      <w:r w:rsidRPr="005928E1">
        <w:rPr>
          <w:rFonts w:eastAsia="Calibri"/>
          <w:lang w:eastAsia="en-US"/>
        </w:rPr>
        <w:t xml:space="preserve">The two launches would each require a marketing campaign to be run. The first would target good causes which meet the criteria established by the Council for this purpose. </w:t>
      </w:r>
      <w:r w:rsidR="00225FD0" w:rsidRPr="005928E1">
        <w:rPr>
          <w:rFonts w:eastAsia="Calibri"/>
          <w:lang w:eastAsia="en-US"/>
        </w:rPr>
        <w:t>The second would focus on promoting the lottery to residents to encourage ticket sales. This process would be supported by the good causes, who have an interest in getting lottery players to select their good cause when they buy a ticket. The ELM would manage the administration of the lottery, including ticket sales, conducting the draws and distributing prizes.</w:t>
      </w:r>
    </w:p>
    <w:p w14:paraId="7466222E" w14:textId="77777777" w:rsidR="00CB642C" w:rsidRPr="005928E1" w:rsidRDefault="00CB642C" w:rsidP="005928E1">
      <w:pPr>
        <w:pStyle w:val="ListParagraph"/>
        <w:numPr>
          <w:ilvl w:val="0"/>
          <w:numId w:val="0"/>
        </w:numPr>
        <w:ind w:left="720"/>
        <w:rPr>
          <w:rFonts w:eastAsia="Calibri"/>
          <w:b/>
          <w:lang w:eastAsia="en-US"/>
        </w:rPr>
      </w:pPr>
      <w:r w:rsidRPr="005928E1">
        <w:rPr>
          <w:rFonts w:eastAsia="Calibri"/>
          <w:b/>
          <w:lang w:eastAsia="en-US"/>
        </w:rPr>
        <w:t>Benefits to Oxford City Council</w:t>
      </w:r>
    </w:p>
    <w:p w14:paraId="678BC037" w14:textId="5805C81F" w:rsidR="00225FD0" w:rsidRPr="006419F9" w:rsidRDefault="00CB642C" w:rsidP="005928E1">
      <w:pPr>
        <w:pStyle w:val="ListParagraph"/>
        <w:numPr>
          <w:ilvl w:val="0"/>
          <w:numId w:val="38"/>
        </w:numPr>
        <w:rPr>
          <w:rFonts w:eastAsia="Calibri"/>
          <w:lang w:eastAsia="en-US"/>
        </w:rPr>
      </w:pPr>
      <w:r w:rsidRPr="006419F9">
        <w:rPr>
          <w:rFonts w:eastAsia="Calibri"/>
          <w:lang w:eastAsia="en-US"/>
        </w:rPr>
        <w:t xml:space="preserve">Oxford has a slightly smaller population than Aylesbury Vale (158,000 compared to 184,600), so with a similar level of ticket sales, would raise 85% of the amount that AVDC have done. </w:t>
      </w:r>
      <w:proofErr w:type="gramStart"/>
      <w:r w:rsidRPr="006419F9">
        <w:rPr>
          <w:rFonts w:eastAsia="Calibri"/>
          <w:lang w:eastAsia="en-US"/>
        </w:rPr>
        <w:t>This amounts</w:t>
      </w:r>
      <w:proofErr w:type="gramEnd"/>
      <w:r w:rsidRPr="006419F9">
        <w:rPr>
          <w:rFonts w:eastAsia="Calibri"/>
          <w:lang w:eastAsia="en-US"/>
        </w:rPr>
        <w:t xml:space="preserve"> to £51,000 in six months as compared to the £60,000</w:t>
      </w:r>
      <w:r w:rsidR="006419F9" w:rsidRPr="006419F9">
        <w:rPr>
          <w:rFonts w:eastAsia="Calibri"/>
          <w:lang w:eastAsia="en-US"/>
        </w:rPr>
        <w:t xml:space="preserve"> </w:t>
      </w:r>
      <w:r w:rsidRPr="006419F9">
        <w:rPr>
          <w:rFonts w:eastAsia="Calibri"/>
          <w:lang w:eastAsia="en-US"/>
        </w:rPr>
        <w:t xml:space="preserve">AVDC have raised. </w:t>
      </w:r>
    </w:p>
    <w:p w14:paraId="41AAB81D" w14:textId="17224793" w:rsidR="00CB642C" w:rsidRPr="00CB642C" w:rsidRDefault="00CB642C" w:rsidP="005928E1">
      <w:pPr>
        <w:pStyle w:val="ListParagraph"/>
        <w:numPr>
          <w:ilvl w:val="0"/>
          <w:numId w:val="38"/>
        </w:numPr>
      </w:pPr>
      <w:r w:rsidRPr="005928E1">
        <w:rPr>
          <w:rFonts w:eastAsia="Calibri"/>
          <w:lang w:eastAsia="en-US"/>
        </w:rPr>
        <w:t xml:space="preserve">Running a lottery would also enable smaller organisations to participate in a lottery, the cost of which would otherwise be prohibitive for them. It will also enable residents to choose the cause they want to support, and provide a </w:t>
      </w:r>
      <w:r w:rsidRPr="005928E1">
        <w:rPr>
          <w:rFonts w:eastAsia="Calibri"/>
          <w:lang w:eastAsia="en-US"/>
        </w:rPr>
        <w:lastRenderedPageBreak/>
        <w:t>potential funding source for those organisations the Council can’t directly afford to support.</w:t>
      </w:r>
    </w:p>
    <w:p w14:paraId="4D660487" w14:textId="77777777" w:rsidR="0040736F" w:rsidRPr="006419F9" w:rsidRDefault="002329CF" w:rsidP="006419F9">
      <w:pPr>
        <w:pStyle w:val="ListParagraph"/>
        <w:numPr>
          <w:ilvl w:val="0"/>
          <w:numId w:val="0"/>
        </w:numPr>
        <w:ind w:left="720"/>
        <w:rPr>
          <w:b/>
        </w:rPr>
      </w:pPr>
      <w:r w:rsidRPr="006419F9">
        <w:rPr>
          <w:b/>
        </w:rPr>
        <w:t>Financial implications</w:t>
      </w:r>
    </w:p>
    <w:p w14:paraId="7FBED4AD" w14:textId="00433AA4" w:rsidR="005928E1" w:rsidRDefault="00CB642C" w:rsidP="005928E1">
      <w:pPr>
        <w:pStyle w:val="ListParagraph"/>
        <w:numPr>
          <w:ilvl w:val="0"/>
          <w:numId w:val="38"/>
        </w:numPr>
      </w:pPr>
      <w:r>
        <w:t>The initial set up of the lottery will cost £3,000.00, and is estimated to be able to raise £100,000 per year.</w:t>
      </w:r>
      <w:r w:rsidR="00225FD0">
        <w:t xml:space="preserve"> Based on the AVDC model, £76-86,000 would go directly to good causes, with the remainder being available to the Council to top up its grant programmes, or deliver </w:t>
      </w:r>
      <w:r w:rsidR="006419F9">
        <w:t>savings</w:t>
      </w:r>
      <w:r w:rsidR="00225FD0">
        <w:t>.</w:t>
      </w:r>
    </w:p>
    <w:p w14:paraId="74C74EC6" w14:textId="18AE2902" w:rsidR="0040736F" w:rsidRPr="005928E1" w:rsidRDefault="005928E1" w:rsidP="006419F9">
      <w:pPr>
        <w:pStyle w:val="ListParagraph"/>
        <w:numPr>
          <w:ilvl w:val="0"/>
          <w:numId w:val="0"/>
        </w:numPr>
        <w:ind w:left="720"/>
        <w:rPr>
          <w:b/>
        </w:rPr>
      </w:pPr>
      <w:r w:rsidRPr="005928E1">
        <w:rPr>
          <w:b/>
        </w:rPr>
        <w:t>Le</w:t>
      </w:r>
      <w:r w:rsidR="00DA614B" w:rsidRPr="005928E1">
        <w:rPr>
          <w:b/>
        </w:rPr>
        <w:t>gal issues</w:t>
      </w:r>
    </w:p>
    <w:p w14:paraId="1D25FFA9" w14:textId="62979437" w:rsidR="00E87F7A" w:rsidRPr="001356F1" w:rsidRDefault="00CB642C" w:rsidP="005928E1">
      <w:pPr>
        <w:pStyle w:val="ListParagraph"/>
        <w:numPr>
          <w:ilvl w:val="0"/>
          <w:numId w:val="38"/>
        </w:numPr>
      </w:pPr>
      <w:r>
        <w:t>The Council will be required to obtain a licence to run the lottery from the Gambling Commission.</w:t>
      </w:r>
      <w:r w:rsidR="00811816">
        <w:t xml:space="preserve"> Appendix four outlines the main requirements in applying for this licence.</w:t>
      </w:r>
    </w:p>
    <w:p w14:paraId="55CDC871" w14:textId="77777777" w:rsidR="002329CF" w:rsidRPr="006419F9" w:rsidRDefault="002329CF" w:rsidP="006419F9">
      <w:pPr>
        <w:pStyle w:val="ListParagraph"/>
        <w:numPr>
          <w:ilvl w:val="0"/>
          <w:numId w:val="0"/>
        </w:numPr>
        <w:ind w:left="720"/>
        <w:rPr>
          <w:b/>
        </w:rPr>
      </w:pPr>
      <w:r w:rsidRPr="006419F9">
        <w:rPr>
          <w:b/>
        </w:rPr>
        <w:t>Level of risk</w:t>
      </w:r>
    </w:p>
    <w:p w14:paraId="528F6CEB" w14:textId="77777777" w:rsidR="00CB642C" w:rsidRPr="005928E1" w:rsidRDefault="00CB642C" w:rsidP="005928E1">
      <w:pPr>
        <w:pStyle w:val="ListParagraph"/>
        <w:numPr>
          <w:ilvl w:val="0"/>
          <w:numId w:val="38"/>
        </w:numPr>
        <w:rPr>
          <w:rFonts w:eastAsia="Calibri"/>
          <w:lang w:eastAsia="en-US"/>
        </w:rPr>
      </w:pPr>
      <w:r w:rsidRPr="005928E1">
        <w:rPr>
          <w:rFonts w:eastAsia="Calibri"/>
          <w:lang w:eastAsia="en-US"/>
        </w:rPr>
        <w:t>There may be concerns that establishing a lottery could be seen as the Council encouraging gambling, and creating a risk of people developing a gambling addiction. Others may have a moral or religious objection to establishing a lottery. However, lotteries are considered very low risk gambling activity by the Gambling Commission, due to the lack of instant gratification, and the lower chances of winning compared to other gambling activity. However, it is recommended that the Council should develop a policy in relation to problem gambling as mitigation if it wishes to set up a lottery. A risk register is included at Appendix Two.</w:t>
      </w:r>
    </w:p>
    <w:p w14:paraId="6352535A" w14:textId="77777777" w:rsidR="002329CF" w:rsidRPr="006419F9" w:rsidRDefault="002329CF" w:rsidP="006419F9">
      <w:pPr>
        <w:pStyle w:val="ListParagraph"/>
        <w:numPr>
          <w:ilvl w:val="0"/>
          <w:numId w:val="0"/>
        </w:numPr>
        <w:ind w:left="720"/>
        <w:rPr>
          <w:b/>
        </w:rPr>
      </w:pPr>
      <w:r w:rsidRPr="006419F9">
        <w:rPr>
          <w:b/>
        </w:rPr>
        <w:t xml:space="preserve">Equalities impact </w:t>
      </w:r>
    </w:p>
    <w:p w14:paraId="685497AF" w14:textId="77777777" w:rsidR="002329CF" w:rsidRPr="001356F1" w:rsidRDefault="00CB642C" w:rsidP="005928E1">
      <w:pPr>
        <w:pStyle w:val="ListParagraph"/>
        <w:numPr>
          <w:ilvl w:val="0"/>
          <w:numId w:val="38"/>
        </w:numPr>
      </w:pPr>
      <w:r>
        <w:t>An Equalities Impact Assessment is attached at Appendix three</w:t>
      </w:r>
      <w:r w:rsidR="00E87F7A" w:rsidRPr="001356F1">
        <w:t>.</w:t>
      </w:r>
    </w:p>
    <w:p w14:paraId="104BF54F" w14:textId="77777777" w:rsidR="00E206D6" w:rsidRPr="001356F1" w:rsidRDefault="00E206D6" w:rsidP="00E206D6">
      <w:pPr>
        <w:pStyle w:val="ListParagraph"/>
        <w:numPr>
          <w:ilvl w:val="0"/>
          <w:numId w:val="0"/>
        </w:numPr>
        <w:ind w:left="426"/>
      </w:pPr>
    </w:p>
    <w:p w14:paraId="4D0E9E48"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F4BFF2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4DB0E0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2B68654" w14:textId="77777777" w:rsidR="00E87F7A" w:rsidRPr="001356F1" w:rsidRDefault="00CB642C" w:rsidP="00CB642C">
            <w:r>
              <w:t>Paul Wilding</w:t>
            </w:r>
          </w:p>
        </w:tc>
      </w:tr>
      <w:tr w:rsidR="00DF093E" w:rsidRPr="001356F1" w14:paraId="475F9707"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1899088"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57A7ED0" w14:textId="77777777" w:rsidR="00E87F7A" w:rsidRPr="001356F1" w:rsidRDefault="00CB642C" w:rsidP="00A46E98">
            <w:r>
              <w:t>Revenues &amp; Benefits Programme Manager</w:t>
            </w:r>
          </w:p>
        </w:tc>
      </w:tr>
      <w:tr w:rsidR="00DF093E" w:rsidRPr="001356F1" w14:paraId="0A7AAEE2" w14:textId="77777777" w:rsidTr="00A46E98">
        <w:trPr>
          <w:cantSplit/>
          <w:trHeight w:val="396"/>
        </w:trPr>
        <w:tc>
          <w:tcPr>
            <w:tcW w:w="3969" w:type="dxa"/>
            <w:tcBorders>
              <w:top w:val="nil"/>
              <w:left w:val="single" w:sz="8" w:space="0" w:color="000000"/>
              <w:bottom w:val="nil"/>
              <w:right w:val="nil"/>
            </w:tcBorders>
            <w:shd w:val="clear" w:color="auto" w:fill="auto"/>
          </w:tcPr>
          <w:p w14:paraId="3931BA7D"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3CC2A2C" w14:textId="77777777" w:rsidR="00E87F7A" w:rsidRPr="001356F1" w:rsidRDefault="00CB642C" w:rsidP="00A46E98">
            <w:r>
              <w:t>Welfare Reform Team</w:t>
            </w:r>
          </w:p>
        </w:tc>
      </w:tr>
      <w:tr w:rsidR="00DF093E" w:rsidRPr="001356F1" w14:paraId="284BE957" w14:textId="77777777" w:rsidTr="00A46E98">
        <w:trPr>
          <w:cantSplit/>
          <w:trHeight w:val="396"/>
        </w:trPr>
        <w:tc>
          <w:tcPr>
            <w:tcW w:w="3969" w:type="dxa"/>
            <w:tcBorders>
              <w:top w:val="nil"/>
              <w:left w:val="single" w:sz="8" w:space="0" w:color="000000"/>
              <w:bottom w:val="nil"/>
              <w:right w:val="nil"/>
            </w:tcBorders>
            <w:shd w:val="clear" w:color="auto" w:fill="auto"/>
          </w:tcPr>
          <w:p w14:paraId="1F93BFD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23437C3" w14:textId="77777777" w:rsidR="00E87F7A" w:rsidRPr="001356F1" w:rsidRDefault="00CB642C" w:rsidP="00A46E98">
            <w:r>
              <w:t>01865 252461</w:t>
            </w:r>
            <w:r w:rsidR="00E87F7A" w:rsidRPr="001356F1">
              <w:t xml:space="preserve"> </w:t>
            </w:r>
          </w:p>
        </w:tc>
      </w:tr>
      <w:tr w:rsidR="005570B5" w:rsidRPr="001356F1" w14:paraId="3CA1F5F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3437C9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4F103A86" w14:textId="77777777" w:rsidR="00E87F7A" w:rsidRPr="001356F1" w:rsidRDefault="00CB642C" w:rsidP="00A46E98">
            <w:pPr>
              <w:rPr>
                <w:rStyle w:val="Hyperlink"/>
                <w:color w:val="000000"/>
              </w:rPr>
            </w:pPr>
            <w:r>
              <w:rPr>
                <w:rStyle w:val="Hyperlink"/>
                <w:color w:val="000000"/>
              </w:rPr>
              <w:t>pwilding@oxford.gov.uk</w:t>
            </w:r>
          </w:p>
        </w:tc>
      </w:tr>
    </w:tbl>
    <w:p w14:paraId="2C65893A"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CC6F60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E4E4C0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05042DC3" w14:textId="77777777" w:rsidR="00CE4C87" w:rsidRDefault="00CE4C87" w:rsidP="0093067A"/>
    <w:p w14:paraId="0C5C3309" w14:textId="77777777" w:rsidR="0054712D" w:rsidRPr="0054712D" w:rsidRDefault="0054712D" w:rsidP="00C85B4E">
      <w:pPr>
        <w:rPr>
          <w:b/>
        </w:rPr>
      </w:pPr>
      <w:r w:rsidRPr="0054712D">
        <w:rPr>
          <w:b/>
        </w:rPr>
        <w:t xml:space="preserve">Please note in the table </w:t>
      </w:r>
      <w:r w:rsidR="00C85B4E">
        <w:rPr>
          <w:b/>
        </w:rPr>
        <w:t xml:space="preserve">below </w:t>
      </w:r>
      <w:r w:rsidRPr="0054712D">
        <w:rPr>
          <w:b/>
        </w:rPr>
        <w:t xml:space="preserve">the version number of your report that was </w:t>
      </w:r>
      <w:r w:rsidR="00C85B4E">
        <w:rPr>
          <w:b/>
        </w:rPr>
        <w:t xml:space="preserve">finally </w:t>
      </w:r>
      <w:r w:rsidRPr="0054712D">
        <w:rPr>
          <w:b/>
        </w:rPr>
        <w:t>cleared</w:t>
      </w:r>
      <w:r w:rsidR="00C85B4E">
        <w:rPr>
          <w:b/>
        </w:rPr>
        <w:t xml:space="preserve"> </w:t>
      </w:r>
      <w:r w:rsidRPr="0054712D">
        <w:rPr>
          <w:b/>
        </w:rPr>
        <w:t>at each stage</w:t>
      </w:r>
    </w:p>
    <w:p w14:paraId="481EA5A7" w14:textId="77777777" w:rsidR="0054712D" w:rsidRDefault="0054712D" w:rsidP="0093067A"/>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2551"/>
      </w:tblGrid>
      <w:tr w:rsidR="004456DD" w14:paraId="70DF36CA" w14:textId="77777777" w:rsidTr="0080749A">
        <w:trPr>
          <w:trHeight w:val="409"/>
        </w:trPr>
        <w:tc>
          <w:tcPr>
            <w:tcW w:w="5342" w:type="dxa"/>
            <w:shd w:val="clear" w:color="auto" w:fill="auto"/>
          </w:tcPr>
          <w:p w14:paraId="5AC5D926" w14:textId="77777777" w:rsidR="004456DD" w:rsidRPr="00E12C99" w:rsidRDefault="004456DD" w:rsidP="00A21B12">
            <w:pPr>
              <w:rPr>
                <w:b/>
              </w:rPr>
            </w:pPr>
            <w:r w:rsidRPr="00E12C99">
              <w:rPr>
                <w:b/>
              </w:rPr>
              <w:t>Report Stage</w:t>
            </w:r>
          </w:p>
        </w:tc>
        <w:tc>
          <w:tcPr>
            <w:tcW w:w="2551" w:type="dxa"/>
            <w:shd w:val="clear" w:color="auto" w:fill="auto"/>
          </w:tcPr>
          <w:p w14:paraId="73286CB4" w14:textId="77777777" w:rsidR="004456DD" w:rsidRPr="0080749A" w:rsidRDefault="004456DD" w:rsidP="00A21B12">
            <w:pPr>
              <w:rPr>
                <w:b/>
              </w:rPr>
            </w:pPr>
            <w:r w:rsidRPr="00E12C99">
              <w:rPr>
                <w:b/>
              </w:rPr>
              <w:t>Version</w:t>
            </w:r>
            <w:r w:rsidR="0080749A">
              <w:rPr>
                <w:b/>
              </w:rPr>
              <w:t xml:space="preserve"> </w:t>
            </w:r>
            <w:r w:rsidRPr="00E12C99">
              <w:rPr>
                <w:b/>
              </w:rPr>
              <w:t>Number</w:t>
            </w:r>
          </w:p>
        </w:tc>
      </w:tr>
      <w:tr w:rsidR="004456DD" w14:paraId="2FBF67CA" w14:textId="77777777" w:rsidTr="0080749A">
        <w:tc>
          <w:tcPr>
            <w:tcW w:w="5342" w:type="dxa"/>
            <w:shd w:val="clear" w:color="auto" w:fill="auto"/>
          </w:tcPr>
          <w:p w14:paraId="3E45D7E6" w14:textId="77777777" w:rsidR="00C85B4E" w:rsidRDefault="004456DD" w:rsidP="00A21B12">
            <w:r w:rsidRPr="00E12C99">
              <w:rPr>
                <w:b/>
              </w:rPr>
              <w:t>First Draft:</w:t>
            </w:r>
            <w:r>
              <w:t xml:space="preserve"> </w:t>
            </w:r>
          </w:p>
          <w:p w14:paraId="1878576B" w14:textId="77777777" w:rsidR="004456DD" w:rsidRDefault="004456DD" w:rsidP="00A21B12">
            <w:r w:rsidRPr="00E12C99">
              <w:rPr>
                <w:i/>
              </w:rPr>
              <w:t>Commissioned and cleared by Director</w:t>
            </w:r>
          </w:p>
        </w:tc>
        <w:tc>
          <w:tcPr>
            <w:tcW w:w="2551" w:type="dxa"/>
            <w:shd w:val="clear" w:color="auto" w:fill="auto"/>
          </w:tcPr>
          <w:p w14:paraId="5BBE5493" w14:textId="1E0BB0C3" w:rsidR="004456DD" w:rsidRDefault="00CB642C" w:rsidP="00A21B12">
            <w:r>
              <w:t>V0.</w:t>
            </w:r>
            <w:r w:rsidR="006419F9">
              <w:t>2</w:t>
            </w:r>
          </w:p>
        </w:tc>
      </w:tr>
      <w:tr w:rsidR="004456DD" w14:paraId="156E82DD" w14:textId="77777777" w:rsidTr="0080749A">
        <w:tc>
          <w:tcPr>
            <w:tcW w:w="5342" w:type="dxa"/>
            <w:shd w:val="clear" w:color="auto" w:fill="auto"/>
          </w:tcPr>
          <w:p w14:paraId="5CFD88CC" w14:textId="77777777" w:rsidR="004456DD" w:rsidRPr="00E12C99" w:rsidRDefault="004456DD" w:rsidP="00A21B12">
            <w:pPr>
              <w:rPr>
                <w:b/>
              </w:rPr>
            </w:pPr>
            <w:r w:rsidRPr="00E12C99">
              <w:rPr>
                <w:b/>
              </w:rPr>
              <w:lastRenderedPageBreak/>
              <w:t>Second Draft:</w:t>
            </w:r>
          </w:p>
          <w:p w14:paraId="0575E0D7" w14:textId="77777777" w:rsidR="004456DD" w:rsidRPr="00E12C99" w:rsidRDefault="004456DD" w:rsidP="00A21B12">
            <w:pPr>
              <w:rPr>
                <w:i/>
              </w:rPr>
            </w:pPr>
            <w:r w:rsidRPr="00E12C99">
              <w:rPr>
                <w:i/>
              </w:rPr>
              <w:t>Cleared by Legal and Finance</w:t>
            </w:r>
          </w:p>
        </w:tc>
        <w:tc>
          <w:tcPr>
            <w:tcW w:w="2551" w:type="dxa"/>
            <w:shd w:val="clear" w:color="auto" w:fill="auto"/>
          </w:tcPr>
          <w:p w14:paraId="163F4CB5" w14:textId="0064A71C" w:rsidR="004456DD" w:rsidRDefault="005A12F4" w:rsidP="00A21B12">
            <w:r>
              <w:t>V0.2</w:t>
            </w:r>
          </w:p>
        </w:tc>
      </w:tr>
      <w:tr w:rsidR="004456DD" w14:paraId="63BA458A" w14:textId="77777777" w:rsidTr="0080749A">
        <w:tc>
          <w:tcPr>
            <w:tcW w:w="5342" w:type="dxa"/>
            <w:shd w:val="clear" w:color="auto" w:fill="auto"/>
          </w:tcPr>
          <w:p w14:paraId="4B9F1A39" w14:textId="77777777" w:rsidR="004456DD" w:rsidRPr="00E12C99" w:rsidRDefault="004456DD" w:rsidP="00A21B12">
            <w:pPr>
              <w:rPr>
                <w:b/>
              </w:rPr>
            </w:pPr>
            <w:r w:rsidRPr="00E12C99">
              <w:rPr>
                <w:b/>
              </w:rPr>
              <w:t>Organisational Draft:</w:t>
            </w:r>
          </w:p>
          <w:p w14:paraId="31BDD08E" w14:textId="77777777" w:rsidR="004456DD" w:rsidRPr="00E12C99" w:rsidRDefault="004456DD" w:rsidP="00A21B12">
            <w:pPr>
              <w:rPr>
                <w:i/>
              </w:rPr>
            </w:pPr>
            <w:r w:rsidRPr="00E12C99">
              <w:rPr>
                <w:i/>
              </w:rPr>
              <w:t>Cleared by the Chief Executive</w:t>
            </w:r>
          </w:p>
        </w:tc>
        <w:tc>
          <w:tcPr>
            <w:tcW w:w="2551" w:type="dxa"/>
            <w:shd w:val="clear" w:color="auto" w:fill="auto"/>
          </w:tcPr>
          <w:p w14:paraId="59F694E0" w14:textId="6148AE28" w:rsidR="004456DD" w:rsidRDefault="005A12F4" w:rsidP="00A21B12">
            <w:r>
              <w:t>V0.3</w:t>
            </w:r>
          </w:p>
        </w:tc>
      </w:tr>
      <w:tr w:rsidR="004456DD" w14:paraId="55F18F6E" w14:textId="77777777" w:rsidTr="0080749A">
        <w:tc>
          <w:tcPr>
            <w:tcW w:w="5342" w:type="dxa"/>
            <w:shd w:val="clear" w:color="auto" w:fill="auto"/>
          </w:tcPr>
          <w:p w14:paraId="7C0ABC1C" w14:textId="77777777" w:rsidR="004456DD" w:rsidRPr="00E12C99" w:rsidRDefault="004456DD" w:rsidP="00A21B12">
            <w:pPr>
              <w:rPr>
                <w:b/>
              </w:rPr>
            </w:pPr>
            <w:r w:rsidRPr="00E12C99">
              <w:rPr>
                <w:b/>
              </w:rPr>
              <w:t>Final Draft:</w:t>
            </w:r>
          </w:p>
          <w:p w14:paraId="42DF7D7A" w14:textId="77777777" w:rsidR="004456DD" w:rsidRPr="00E12C99" w:rsidRDefault="004456DD" w:rsidP="00A21B12">
            <w:pPr>
              <w:rPr>
                <w:i/>
              </w:rPr>
            </w:pPr>
            <w:r w:rsidRPr="00E12C99">
              <w:rPr>
                <w:i/>
              </w:rPr>
              <w:t>Cleared by the Board Member</w:t>
            </w:r>
          </w:p>
        </w:tc>
        <w:tc>
          <w:tcPr>
            <w:tcW w:w="2551" w:type="dxa"/>
            <w:shd w:val="clear" w:color="auto" w:fill="auto"/>
          </w:tcPr>
          <w:p w14:paraId="12DD7C2D" w14:textId="77777777" w:rsidR="004456DD" w:rsidRDefault="004456DD" w:rsidP="00A21B12"/>
        </w:tc>
      </w:tr>
      <w:tr w:rsidR="004456DD" w14:paraId="75A1A0AC" w14:textId="77777777" w:rsidTr="0080749A">
        <w:tc>
          <w:tcPr>
            <w:tcW w:w="5342" w:type="dxa"/>
            <w:shd w:val="clear" w:color="auto" w:fill="auto"/>
          </w:tcPr>
          <w:p w14:paraId="2F185AEF" w14:textId="77777777" w:rsidR="004456DD" w:rsidRPr="00E12C99" w:rsidRDefault="004456DD" w:rsidP="00A21B12">
            <w:pPr>
              <w:rPr>
                <w:b/>
              </w:rPr>
            </w:pPr>
            <w:r w:rsidRPr="00E12C99">
              <w:rPr>
                <w:b/>
              </w:rPr>
              <w:t>Final Report:</w:t>
            </w:r>
          </w:p>
          <w:p w14:paraId="546552D9" w14:textId="77777777" w:rsidR="004456DD" w:rsidRPr="00E12C99" w:rsidRDefault="004456DD" w:rsidP="00A21B12">
            <w:pPr>
              <w:rPr>
                <w:i/>
              </w:rPr>
            </w:pPr>
            <w:r w:rsidRPr="00E12C99">
              <w:rPr>
                <w:i/>
              </w:rPr>
              <w:t>Cleared by Labour Group</w:t>
            </w:r>
          </w:p>
        </w:tc>
        <w:tc>
          <w:tcPr>
            <w:tcW w:w="2551" w:type="dxa"/>
            <w:shd w:val="clear" w:color="auto" w:fill="auto"/>
          </w:tcPr>
          <w:p w14:paraId="4E28285F" w14:textId="77777777" w:rsidR="004456DD" w:rsidRDefault="004456DD" w:rsidP="00A21B12"/>
        </w:tc>
      </w:tr>
    </w:tbl>
    <w:p w14:paraId="549DD05B" w14:textId="77777777" w:rsidR="00CB642C" w:rsidRDefault="00CB642C" w:rsidP="0093067A"/>
    <w:p w14:paraId="07B06DAA" w14:textId="3776D068" w:rsidR="004456DD" w:rsidRPr="000224FB" w:rsidRDefault="004456DD" w:rsidP="000224FB">
      <w:pPr>
        <w:pStyle w:val="NoSpacing"/>
        <w:rPr>
          <w:rFonts w:eastAsia="Calibri" w:cs="Arial"/>
          <w:color w:val="auto"/>
        </w:rPr>
      </w:pPr>
      <w:bookmarkStart w:id="0" w:name="_GoBack"/>
      <w:bookmarkEnd w:id="0"/>
    </w:p>
    <w:sectPr w:rsidR="004456DD" w:rsidRPr="000224FB"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DF0A4" w15:done="0"/>
  <w15:commentEx w15:paraId="2B85B3F4" w15:done="0"/>
  <w15:commentEx w15:paraId="1D5B21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9FD88" w14:textId="77777777" w:rsidR="005B69FA" w:rsidRDefault="005B69FA" w:rsidP="004A6D2F">
      <w:r>
        <w:separator/>
      </w:r>
    </w:p>
  </w:endnote>
  <w:endnote w:type="continuationSeparator" w:id="0">
    <w:p w14:paraId="40A9B1A9" w14:textId="77777777" w:rsidR="005B69FA" w:rsidRDefault="005B69F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EAEA" w14:textId="77777777" w:rsidR="00364FAD" w:rsidRDefault="00364FAD" w:rsidP="004A6D2F">
    <w:pPr>
      <w:pStyle w:val="Footer"/>
    </w:pPr>
    <w:r>
      <w:t>Do not use a footer or page numbers.</w:t>
    </w:r>
  </w:p>
  <w:p w14:paraId="1DAAFAB6" w14:textId="77777777" w:rsidR="00364FAD" w:rsidRDefault="00364FAD" w:rsidP="004A6D2F">
    <w:pPr>
      <w:pStyle w:val="Footer"/>
    </w:pPr>
  </w:p>
  <w:p w14:paraId="4360DA9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FCF7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327B3" w14:textId="77777777" w:rsidR="005B69FA" w:rsidRDefault="005B69FA" w:rsidP="004A6D2F">
      <w:r>
        <w:separator/>
      </w:r>
    </w:p>
  </w:footnote>
  <w:footnote w:type="continuationSeparator" w:id="0">
    <w:p w14:paraId="1CFC3DED" w14:textId="77777777" w:rsidR="005B69FA" w:rsidRDefault="005B69F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595A" w14:textId="77777777" w:rsidR="00D5547E" w:rsidRDefault="00CB642C" w:rsidP="00D5547E">
    <w:pPr>
      <w:pStyle w:val="Header"/>
      <w:jc w:val="right"/>
    </w:pPr>
    <w:r>
      <w:rPr>
        <w:noProof/>
      </w:rPr>
      <w:drawing>
        <wp:inline distT="0" distB="0" distL="0" distR="0" wp14:anchorId="0E94B8DE" wp14:editId="7A84D99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4541A7E"/>
    <w:multiLevelType w:val="hybridMultilevel"/>
    <w:tmpl w:val="664E30D8"/>
    <w:lvl w:ilvl="0" w:tplc="B1EC2E4A">
      <w:start w:val="1"/>
      <w:numFmt w:val="bullet"/>
      <w:lvlText w:val=""/>
      <w:lvlJc w:val="left"/>
      <w:pPr>
        <w:ind w:left="360" w:hanging="360"/>
      </w:pPr>
      <w:rPr>
        <w:rFonts w:ascii="Symbol" w:hAnsi="Symbol" w:hint="default"/>
      </w:rPr>
    </w:lvl>
    <w:lvl w:ilvl="1" w:tplc="978E889E">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D9C23E6"/>
    <w:multiLevelType w:val="hybridMultilevel"/>
    <w:tmpl w:val="DF8A45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2051AE"/>
    <w:multiLevelType w:val="hybridMultilevel"/>
    <w:tmpl w:val="343AEEB6"/>
    <w:lvl w:ilvl="0" w:tplc="0809000F">
      <w:start w:val="1"/>
      <w:numFmt w:val="decimal"/>
      <w:lvlText w:val="%1."/>
      <w:lvlJc w:val="left"/>
      <w:pPr>
        <w:ind w:left="786" w:hanging="360"/>
      </w:pPr>
    </w:lvl>
    <w:lvl w:ilvl="1" w:tplc="78246412">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23E0094"/>
    <w:multiLevelType w:val="hybridMultilevel"/>
    <w:tmpl w:val="95569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D26F1F"/>
    <w:multiLevelType w:val="hybridMultilevel"/>
    <w:tmpl w:val="979A5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2CD799C"/>
    <w:multiLevelType w:val="hybridMultilevel"/>
    <w:tmpl w:val="1560625E"/>
    <w:lvl w:ilvl="0" w:tplc="B1F6DF3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98365C6"/>
    <w:multiLevelType w:val="multilevel"/>
    <w:tmpl w:val="E67CE66C"/>
    <w:numStyleLink w:val="StyleNumberedLeft0cmHanging075cm"/>
  </w:abstractNum>
  <w:num w:numId="1">
    <w:abstractNumId w:val="30"/>
  </w:num>
  <w:num w:numId="2">
    <w:abstractNumId w:val="35"/>
  </w:num>
  <w:num w:numId="3">
    <w:abstractNumId w:val="26"/>
  </w:num>
  <w:num w:numId="4">
    <w:abstractNumId w:val="20"/>
  </w:num>
  <w:num w:numId="5">
    <w:abstractNumId w:val="32"/>
  </w:num>
  <w:num w:numId="6">
    <w:abstractNumId w:val="36"/>
  </w:num>
  <w:num w:numId="7">
    <w:abstractNumId w:val="25"/>
  </w:num>
  <w:num w:numId="8">
    <w:abstractNumId w:val="22"/>
  </w:num>
  <w:num w:numId="9">
    <w:abstractNumId w:val="13"/>
  </w:num>
  <w:num w:numId="10">
    <w:abstractNumId w:val="17"/>
  </w:num>
  <w:num w:numId="11">
    <w:abstractNumId w:val="28"/>
  </w:num>
  <w:num w:numId="12">
    <w:abstractNumId w:val="27"/>
  </w:num>
  <w:num w:numId="13">
    <w:abstractNumId w:val="10"/>
  </w:num>
  <w:num w:numId="14">
    <w:abstractNumId w:val="38"/>
  </w:num>
  <w:num w:numId="15">
    <w:abstractNumId w:val="18"/>
  </w:num>
  <w:num w:numId="16">
    <w:abstractNumId w:val="11"/>
  </w:num>
  <w:num w:numId="17">
    <w:abstractNumId w:val="31"/>
  </w:num>
  <w:num w:numId="18">
    <w:abstractNumId w:val="12"/>
  </w:num>
  <w:num w:numId="19">
    <w:abstractNumId w:val="33"/>
  </w:num>
  <w:num w:numId="20">
    <w:abstractNumId w:val="19"/>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5"/>
  </w:num>
  <w:num w:numId="36">
    <w:abstractNumId w:val="37"/>
  </w:num>
  <w:num w:numId="37">
    <w:abstractNumId w:val="24"/>
  </w:num>
  <w:num w:numId="38">
    <w:abstractNumId w:val="29"/>
  </w:num>
  <w:num w:numId="39">
    <w:abstractNumId w:val="16"/>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722D"/>
    <w:rsid w:val="000224FB"/>
    <w:rsid w:val="000314D7"/>
    <w:rsid w:val="00045F8B"/>
    <w:rsid w:val="00046D2B"/>
    <w:rsid w:val="00056263"/>
    <w:rsid w:val="00064D8A"/>
    <w:rsid w:val="00064F82"/>
    <w:rsid w:val="00066510"/>
    <w:rsid w:val="00077523"/>
    <w:rsid w:val="000B3069"/>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10C4"/>
    <w:rsid w:val="002069B3"/>
    <w:rsid w:val="00225FD0"/>
    <w:rsid w:val="00226579"/>
    <w:rsid w:val="002329CF"/>
    <w:rsid w:val="00232F5B"/>
    <w:rsid w:val="00247C29"/>
    <w:rsid w:val="00260467"/>
    <w:rsid w:val="00263EA3"/>
    <w:rsid w:val="00284F85"/>
    <w:rsid w:val="00290915"/>
    <w:rsid w:val="002A22E2"/>
    <w:rsid w:val="002C64F7"/>
    <w:rsid w:val="002F41F2"/>
    <w:rsid w:val="00301BF3"/>
    <w:rsid w:val="0030208D"/>
    <w:rsid w:val="00322A02"/>
    <w:rsid w:val="00323418"/>
    <w:rsid w:val="003357BF"/>
    <w:rsid w:val="00361026"/>
    <w:rsid w:val="00364FAD"/>
    <w:rsid w:val="0036738F"/>
    <w:rsid w:val="0036759C"/>
    <w:rsid w:val="00367AE5"/>
    <w:rsid w:val="00367D71"/>
    <w:rsid w:val="0038150A"/>
    <w:rsid w:val="003B6E75"/>
    <w:rsid w:val="003B7DA1"/>
    <w:rsid w:val="003D0379"/>
    <w:rsid w:val="003D2574"/>
    <w:rsid w:val="003D4C59"/>
    <w:rsid w:val="003F4267"/>
    <w:rsid w:val="00400F1F"/>
    <w:rsid w:val="00404032"/>
    <w:rsid w:val="004042EE"/>
    <w:rsid w:val="0040736F"/>
    <w:rsid w:val="00412C1F"/>
    <w:rsid w:val="00421CB2"/>
    <w:rsid w:val="004268B9"/>
    <w:rsid w:val="00431BBE"/>
    <w:rsid w:val="00433B96"/>
    <w:rsid w:val="004367F4"/>
    <w:rsid w:val="004440F1"/>
    <w:rsid w:val="004456DD"/>
    <w:rsid w:val="00446CDF"/>
    <w:rsid w:val="004521B7"/>
    <w:rsid w:val="00462AB5"/>
    <w:rsid w:val="00465EAF"/>
    <w:rsid w:val="004738C5"/>
    <w:rsid w:val="0048443C"/>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928E1"/>
    <w:rsid w:val="005A12F4"/>
    <w:rsid w:val="005A34E4"/>
    <w:rsid w:val="005B17F2"/>
    <w:rsid w:val="005B69FA"/>
    <w:rsid w:val="005B7FB0"/>
    <w:rsid w:val="005C35A5"/>
    <w:rsid w:val="005C577C"/>
    <w:rsid w:val="005D0621"/>
    <w:rsid w:val="005D1E27"/>
    <w:rsid w:val="005D2A3E"/>
    <w:rsid w:val="005E022E"/>
    <w:rsid w:val="005E2F5C"/>
    <w:rsid w:val="005E5215"/>
    <w:rsid w:val="005F7F7E"/>
    <w:rsid w:val="00614693"/>
    <w:rsid w:val="00623C2F"/>
    <w:rsid w:val="00632122"/>
    <w:rsid w:val="00633578"/>
    <w:rsid w:val="00637068"/>
    <w:rsid w:val="006419F9"/>
    <w:rsid w:val="00650811"/>
    <w:rsid w:val="00661D3E"/>
    <w:rsid w:val="00692627"/>
    <w:rsid w:val="006969E7"/>
    <w:rsid w:val="00697942"/>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818AA"/>
    <w:rsid w:val="00791437"/>
    <w:rsid w:val="007A325D"/>
    <w:rsid w:val="007B0C2C"/>
    <w:rsid w:val="007B278E"/>
    <w:rsid w:val="007C5C23"/>
    <w:rsid w:val="007D27BB"/>
    <w:rsid w:val="007E2A26"/>
    <w:rsid w:val="007F2348"/>
    <w:rsid w:val="00803F07"/>
    <w:rsid w:val="0080749A"/>
    <w:rsid w:val="00811816"/>
    <w:rsid w:val="008208B5"/>
    <w:rsid w:val="00821FB8"/>
    <w:rsid w:val="00822ACD"/>
    <w:rsid w:val="00843840"/>
    <w:rsid w:val="00855C66"/>
    <w:rsid w:val="00871640"/>
    <w:rsid w:val="00871EE4"/>
    <w:rsid w:val="008B293F"/>
    <w:rsid w:val="008B5919"/>
    <w:rsid w:val="008B7371"/>
    <w:rsid w:val="008D3DDB"/>
    <w:rsid w:val="008F573F"/>
    <w:rsid w:val="008F5803"/>
    <w:rsid w:val="009034EC"/>
    <w:rsid w:val="00923AF4"/>
    <w:rsid w:val="0093067A"/>
    <w:rsid w:val="00941C60"/>
    <w:rsid w:val="009550D7"/>
    <w:rsid w:val="00966D42"/>
    <w:rsid w:val="00970B89"/>
    <w:rsid w:val="00971689"/>
    <w:rsid w:val="00973E90"/>
    <w:rsid w:val="00975423"/>
    <w:rsid w:val="00975B07"/>
    <w:rsid w:val="00980B4A"/>
    <w:rsid w:val="009A0BD5"/>
    <w:rsid w:val="009E3D0A"/>
    <w:rsid w:val="009E51FC"/>
    <w:rsid w:val="009F1497"/>
    <w:rsid w:val="009F1D28"/>
    <w:rsid w:val="009F7618"/>
    <w:rsid w:val="00A04D23"/>
    <w:rsid w:val="00A06766"/>
    <w:rsid w:val="00A13765"/>
    <w:rsid w:val="00A21B12"/>
    <w:rsid w:val="00A23F80"/>
    <w:rsid w:val="00A42319"/>
    <w:rsid w:val="00A46E98"/>
    <w:rsid w:val="00A5526A"/>
    <w:rsid w:val="00A6352B"/>
    <w:rsid w:val="00A701B5"/>
    <w:rsid w:val="00A714BB"/>
    <w:rsid w:val="00A92D8F"/>
    <w:rsid w:val="00AA4B32"/>
    <w:rsid w:val="00AB2988"/>
    <w:rsid w:val="00AB7999"/>
    <w:rsid w:val="00AC476F"/>
    <w:rsid w:val="00AD3292"/>
    <w:rsid w:val="00AE7AF0"/>
    <w:rsid w:val="00B500CA"/>
    <w:rsid w:val="00B86314"/>
    <w:rsid w:val="00BA1C2E"/>
    <w:rsid w:val="00BC200B"/>
    <w:rsid w:val="00BC4756"/>
    <w:rsid w:val="00BC69A4"/>
    <w:rsid w:val="00BE0680"/>
    <w:rsid w:val="00BE305F"/>
    <w:rsid w:val="00BE7BA3"/>
    <w:rsid w:val="00BF5682"/>
    <w:rsid w:val="00BF7B09"/>
    <w:rsid w:val="00C0747B"/>
    <w:rsid w:val="00C20A95"/>
    <w:rsid w:val="00C2692F"/>
    <w:rsid w:val="00C3207C"/>
    <w:rsid w:val="00C400E1"/>
    <w:rsid w:val="00C41187"/>
    <w:rsid w:val="00C44959"/>
    <w:rsid w:val="00C63C31"/>
    <w:rsid w:val="00C757A0"/>
    <w:rsid w:val="00C760DE"/>
    <w:rsid w:val="00C82630"/>
    <w:rsid w:val="00C85B4E"/>
    <w:rsid w:val="00C907F7"/>
    <w:rsid w:val="00C93698"/>
    <w:rsid w:val="00C94257"/>
    <w:rsid w:val="00CA2103"/>
    <w:rsid w:val="00CB642C"/>
    <w:rsid w:val="00CB6B99"/>
    <w:rsid w:val="00CE4C87"/>
    <w:rsid w:val="00CE544A"/>
    <w:rsid w:val="00D11E1C"/>
    <w:rsid w:val="00D160B0"/>
    <w:rsid w:val="00D17F94"/>
    <w:rsid w:val="00D223FC"/>
    <w:rsid w:val="00D26D1E"/>
    <w:rsid w:val="00D474CF"/>
    <w:rsid w:val="00D5547E"/>
    <w:rsid w:val="00D82D73"/>
    <w:rsid w:val="00D869A1"/>
    <w:rsid w:val="00DA413F"/>
    <w:rsid w:val="00DA4584"/>
    <w:rsid w:val="00DA614B"/>
    <w:rsid w:val="00DC3060"/>
    <w:rsid w:val="00DE0FB2"/>
    <w:rsid w:val="00DE4C47"/>
    <w:rsid w:val="00DF093E"/>
    <w:rsid w:val="00E01F42"/>
    <w:rsid w:val="00E206D6"/>
    <w:rsid w:val="00E3366E"/>
    <w:rsid w:val="00E52086"/>
    <w:rsid w:val="00E543A6"/>
    <w:rsid w:val="00E60479"/>
    <w:rsid w:val="00E61D73"/>
    <w:rsid w:val="00E73684"/>
    <w:rsid w:val="00E810D7"/>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516F5"/>
    <w:rsid w:val="00F519FD"/>
    <w:rsid w:val="00F66DCA"/>
    <w:rsid w:val="00F74F53"/>
    <w:rsid w:val="00F7606D"/>
    <w:rsid w:val="00F81670"/>
    <w:rsid w:val="00F82024"/>
    <w:rsid w:val="00F84115"/>
    <w:rsid w:val="00F95BC9"/>
    <w:rsid w:val="00FA624C"/>
    <w:rsid w:val="00FD0FAC"/>
    <w:rsid w:val="00FD1DFA"/>
    <w:rsid w:val="00FD4966"/>
    <w:rsid w:val="00FE409B"/>
    <w:rsid w:val="00FE57DC"/>
    <w:rsid w:val="00FF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4B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alelottery.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5B53-9F74-4375-AABA-5958130E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80A024A7</Template>
  <TotalTime>4</TotalTime>
  <Pages>5</Pages>
  <Words>1478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6</cp:revision>
  <cp:lastPrinted>2015-07-03T13:50:00Z</cp:lastPrinted>
  <dcterms:created xsi:type="dcterms:W3CDTF">2016-12-05T15:27:00Z</dcterms:created>
  <dcterms:modified xsi:type="dcterms:W3CDTF">2017-02-07T13:28:00Z</dcterms:modified>
</cp:coreProperties>
</file>